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9B" w:rsidRDefault="00BB2604" w:rsidP="000010AC">
      <w:pPr>
        <w:pStyle w:val="20"/>
        <w:tabs>
          <w:tab w:val="left" w:pos="709"/>
        </w:tabs>
        <w:spacing w:after="0" w:line="240" w:lineRule="auto"/>
        <w:ind w:left="20"/>
        <w:rPr>
          <w:sz w:val="28"/>
          <w:szCs w:val="28"/>
        </w:rPr>
      </w:pPr>
      <w:r w:rsidRPr="00BB2604">
        <w:rPr>
          <w:sz w:val="28"/>
          <w:szCs w:val="28"/>
        </w:rPr>
        <w:t xml:space="preserve">Информация о результатах </w:t>
      </w:r>
    </w:p>
    <w:p w:rsidR="00DF349B" w:rsidRDefault="00AE5611" w:rsidP="000010AC">
      <w:pPr>
        <w:pStyle w:val="20"/>
        <w:tabs>
          <w:tab w:val="left" w:pos="709"/>
        </w:tabs>
        <w:spacing w:after="0" w:line="240" w:lineRule="auto"/>
        <w:ind w:left="20"/>
        <w:rPr>
          <w:sz w:val="28"/>
          <w:szCs w:val="28"/>
        </w:rPr>
      </w:pPr>
      <w:r>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Pr>
          <w:sz w:val="28"/>
          <w:szCs w:val="28"/>
        </w:rPr>
        <w:t>в</w:t>
      </w:r>
      <w:r w:rsidR="00837339">
        <w:rPr>
          <w:sz w:val="28"/>
          <w:szCs w:val="28"/>
        </w:rPr>
        <w:t xml:space="preserve"> администрации</w:t>
      </w:r>
      <w:r w:rsidR="00820D57" w:rsidRPr="00820D57">
        <w:rPr>
          <w:sz w:val="28"/>
          <w:szCs w:val="28"/>
        </w:rPr>
        <w:t xml:space="preserve"> </w:t>
      </w:r>
    </w:p>
    <w:p w:rsidR="001D4D55" w:rsidRDefault="00427929" w:rsidP="000010AC">
      <w:pPr>
        <w:pStyle w:val="20"/>
        <w:tabs>
          <w:tab w:val="left" w:pos="709"/>
        </w:tabs>
        <w:spacing w:after="0" w:line="240" w:lineRule="auto"/>
        <w:ind w:left="20"/>
        <w:rPr>
          <w:sz w:val="28"/>
          <w:szCs w:val="28"/>
        </w:rPr>
      </w:pPr>
      <w:r>
        <w:rPr>
          <w:sz w:val="28"/>
          <w:szCs w:val="28"/>
        </w:rPr>
        <w:t>Темрюкского городского</w:t>
      </w:r>
      <w:r w:rsidR="00A138F6" w:rsidRPr="00A138F6">
        <w:rPr>
          <w:sz w:val="28"/>
          <w:szCs w:val="28"/>
        </w:rPr>
        <w:t xml:space="preserve"> поселения Темрюкского района  </w:t>
      </w:r>
    </w:p>
    <w:p w:rsidR="00AE5611" w:rsidRPr="001D4D55" w:rsidRDefault="00AE5611" w:rsidP="000010AC">
      <w:pPr>
        <w:pStyle w:val="20"/>
        <w:tabs>
          <w:tab w:val="left" w:pos="709"/>
        </w:tabs>
        <w:spacing w:after="0" w:line="240" w:lineRule="auto"/>
        <w:ind w:left="20"/>
        <w:rPr>
          <w:sz w:val="28"/>
          <w:szCs w:val="28"/>
        </w:rPr>
      </w:pPr>
    </w:p>
    <w:p w:rsidR="00427929" w:rsidRDefault="00427929" w:rsidP="000010AC">
      <w:pPr>
        <w:pStyle w:val="1"/>
        <w:tabs>
          <w:tab w:val="left" w:pos="709"/>
        </w:tabs>
        <w:spacing w:before="0" w:line="240" w:lineRule="auto"/>
        <w:ind w:right="62"/>
        <w:rPr>
          <w:sz w:val="28"/>
          <w:szCs w:val="28"/>
        </w:rPr>
      </w:pPr>
      <w:r w:rsidRPr="00427929">
        <w:rPr>
          <w:sz w:val="28"/>
          <w:szCs w:val="28"/>
        </w:rPr>
        <w:t>Плановая камеральная проверка в администрации Темрюкского городского поселения Темрюкского района (далее – контрольное мероприятие) проведена на основании пункта 12 плана контрольных мероприятий отдела внутреннего финансового контроля администрации муниципального образования Темрюкский район, утвержденного начальником отдела внутреннего финансового контроля администрации муниципального образования Темрюкский район от 15.12.2022 (с изменениями от 16.02.2023), и приказа отдела внутреннего финансового контроля администрации муниципального образования Темрюкский район от 14.04.2023 № 03-25/23-02 «О проведении плановой камеральной проверки в администрации Темрюкского городского поселения Темрюкского района».</w:t>
      </w:r>
    </w:p>
    <w:p w:rsidR="0039546A" w:rsidRDefault="0073734D" w:rsidP="00427929">
      <w:pPr>
        <w:pStyle w:val="1"/>
        <w:tabs>
          <w:tab w:val="left" w:pos="709"/>
        </w:tabs>
        <w:spacing w:before="0" w:line="240" w:lineRule="auto"/>
        <w:ind w:right="62"/>
        <w:rPr>
          <w:sz w:val="28"/>
          <w:szCs w:val="28"/>
        </w:rPr>
      </w:pPr>
      <w:r>
        <w:rPr>
          <w:sz w:val="28"/>
          <w:szCs w:val="28"/>
        </w:rPr>
        <w:tab/>
      </w:r>
      <w:r w:rsidR="00BB2604" w:rsidRPr="00BB2604">
        <w:rPr>
          <w:sz w:val="28"/>
          <w:szCs w:val="28"/>
        </w:rPr>
        <w:t>Проверяемый период: 20</w:t>
      </w:r>
      <w:r w:rsidR="00AE5611">
        <w:rPr>
          <w:sz w:val="28"/>
          <w:szCs w:val="28"/>
        </w:rPr>
        <w:t>2</w:t>
      </w:r>
      <w:r w:rsidR="007B58E7">
        <w:rPr>
          <w:sz w:val="28"/>
          <w:szCs w:val="28"/>
        </w:rPr>
        <w:t>2</w:t>
      </w:r>
      <w:r w:rsidR="00BB2604" w:rsidRPr="00BB2604">
        <w:rPr>
          <w:sz w:val="28"/>
          <w:szCs w:val="28"/>
        </w:rPr>
        <w:t xml:space="preserve"> год.</w:t>
      </w:r>
    </w:p>
    <w:p w:rsidR="007123C1" w:rsidRDefault="0073734D" w:rsidP="00427929">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427929" w:rsidRPr="00427929" w:rsidRDefault="0073734D" w:rsidP="00427929">
      <w:pPr>
        <w:pStyle w:val="1"/>
        <w:tabs>
          <w:tab w:val="left" w:pos="709"/>
        </w:tabs>
        <w:spacing w:before="0" w:line="240" w:lineRule="auto"/>
        <w:ind w:left="40"/>
        <w:rPr>
          <w:rFonts w:eastAsia="Courier New"/>
          <w:sz w:val="28"/>
          <w:szCs w:val="28"/>
        </w:rPr>
      </w:pPr>
      <w:r>
        <w:rPr>
          <w:rFonts w:eastAsia="Courier New"/>
          <w:sz w:val="28"/>
          <w:szCs w:val="28"/>
        </w:rPr>
        <w:tab/>
      </w:r>
      <w:r w:rsidR="00427929" w:rsidRPr="00427929">
        <w:rPr>
          <w:rFonts w:eastAsia="Courier New"/>
          <w:sz w:val="28"/>
          <w:szCs w:val="28"/>
        </w:rPr>
        <w:t>В целях реализации пункта 1 статьи 179 Бюджетного кодекса Российской Федерации № 145-ФЗ от 31.07.1998, постановлением от 18.03.2016 № 324 «Об утверждении Порядка разработки, формирования, реализации и оценки эффективности реализации муниципальных программ Темрюкского городского поселения Темрюкского района» (с изменениями) (далее – Порядок) Администрацией утвержден Порядок, в соответствии с условиями которого ведется разработка и дальнейшая реализация программ Темрюкского городского поселения Темрюкского района.</w:t>
      </w:r>
    </w:p>
    <w:p w:rsidR="00427929" w:rsidRDefault="00924834" w:rsidP="00427929">
      <w:pPr>
        <w:pStyle w:val="1"/>
        <w:tabs>
          <w:tab w:val="left" w:pos="709"/>
        </w:tabs>
        <w:spacing w:before="0" w:line="240" w:lineRule="auto"/>
        <w:ind w:left="40"/>
        <w:rPr>
          <w:rFonts w:eastAsia="Courier New"/>
          <w:sz w:val="28"/>
          <w:szCs w:val="28"/>
        </w:rPr>
      </w:pPr>
      <w:r>
        <w:rPr>
          <w:rFonts w:eastAsia="Courier New"/>
          <w:sz w:val="28"/>
          <w:szCs w:val="28"/>
        </w:rPr>
        <w:tab/>
      </w:r>
      <w:bookmarkStart w:id="0" w:name="_GoBack"/>
      <w:bookmarkEnd w:id="0"/>
      <w:r w:rsidR="00427929" w:rsidRPr="00427929">
        <w:rPr>
          <w:rFonts w:eastAsia="Courier New"/>
          <w:sz w:val="28"/>
          <w:szCs w:val="28"/>
        </w:rPr>
        <w:t xml:space="preserve">В ходе контрольного мероприятия установлено, что утвержденный Порядок не соответствует требованиям постановления главы администрации (губернатора) Краснодарского края от 08.05.2014 № 430 «Об утверждении Порядка принятия, решения о разработке, формирования, реализации и оценке эффективности реализации государственных программ Краснодарского края и внесения изменений в некоторые нормативные правовые акты главы администрации (губернатора) Краснодарского края» (с изменениями) и постановления администрации муниципального образования Темрюкский район от 13.07.2021 года № 979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рекомендованных для принятия в поселениях муниципального образования Темрюкский район (письмо заместителя главы муниципального образования Темрюкский район Криворучко Л.В. от 29.07.2021 № 06-9480/21-26). Также установлено, что Порядком не утверждена методика оценки эффективности реализации муниципальных программ (подпрограмм), однако наименование Порядка предусматривает приложение с механизмом и правилами расчета оценки реализации эффективности муниципальных программ (подпрограмм). Администрацией постановлением от 01.06.2015 № 480 «Об утверждении Порядка оценки эффективности реализации муниципальных программ» (далее – Порядок расчета эффективности) утвержден Порядок расчета эффективности программ исходя из требований, предъявляемых к годовому отчету до 2021 года, таким образом вышеуказанный нормативно правовой акт при формировании годового </w:t>
      </w:r>
      <w:r w:rsidR="00427929" w:rsidRPr="00427929">
        <w:rPr>
          <w:rFonts w:eastAsia="Courier New"/>
          <w:sz w:val="28"/>
          <w:szCs w:val="28"/>
        </w:rPr>
        <w:lastRenderedPageBreak/>
        <w:t>отчета и подготовке оценки эффективности муниципальных программ не подлежит исполнению в 2022 году. Исходя из вышеизложенного, можно прийти к выводу о некачественной подготовке нормативно правовых актов для формирования и реализации муниципальных программ в Темрюкском городском поселении Темрюкского района.</w:t>
      </w:r>
      <w:r w:rsidR="000010AC" w:rsidRPr="00427929">
        <w:rPr>
          <w:rFonts w:eastAsia="Courier New"/>
          <w:sz w:val="28"/>
          <w:szCs w:val="28"/>
        </w:rPr>
        <w:tab/>
      </w:r>
    </w:p>
    <w:p w:rsidR="00427929" w:rsidRDefault="00427929" w:rsidP="00427929">
      <w:pPr>
        <w:pStyle w:val="1"/>
        <w:tabs>
          <w:tab w:val="left" w:pos="709"/>
        </w:tabs>
        <w:spacing w:before="0" w:line="240" w:lineRule="auto"/>
        <w:ind w:left="40"/>
        <w:rPr>
          <w:rFonts w:eastAsia="Courier New"/>
          <w:sz w:val="28"/>
          <w:szCs w:val="28"/>
        </w:rPr>
      </w:pPr>
      <w:r>
        <w:rPr>
          <w:rFonts w:eastAsia="Courier New"/>
          <w:sz w:val="28"/>
          <w:szCs w:val="28"/>
        </w:rPr>
        <w:tab/>
      </w:r>
      <w:r w:rsidRPr="00427929">
        <w:rPr>
          <w:rFonts w:eastAsia="Courier New"/>
          <w:sz w:val="28"/>
          <w:szCs w:val="28"/>
        </w:rPr>
        <w:t>Муниципальная программа Темрюкского городского поселения Темрюкского района «Развитие, эксплуатация и обслуживание информационно-коммуникационных технологий» (далее – Программа), разработана в соответствии с требованиями Порядка, на основании перечня муниципальных программ (утвержден постановлением Администрации от 20.10.2016 № 1305 «Об утверждении перечня муниципальных программ Темрюкского городского поселения Темрюкского района» (с изменениями от 21.04.2021 № 396) и утверждена постановлением Администрации от 02.11.2018 № 1077 «Об утверждении муниципальной программы Темрюкского городского поселения Темрюкского района «Развитие, эксплуатация и обслуживание информационно-коммуникационных технологий» (с изменениями на 2022 от 07.12.2021 № 1312).</w:t>
      </w:r>
      <w:r w:rsidR="000010AC">
        <w:rPr>
          <w:rFonts w:eastAsia="Courier New"/>
          <w:sz w:val="28"/>
          <w:szCs w:val="28"/>
        </w:rPr>
        <w:tab/>
      </w:r>
      <w:r>
        <w:rPr>
          <w:rFonts w:eastAsia="Courier New"/>
          <w:sz w:val="28"/>
          <w:szCs w:val="28"/>
        </w:rPr>
        <w:t>М</w:t>
      </w:r>
      <w:r w:rsidRPr="00427929">
        <w:rPr>
          <w:rFonts w:eastAsia="Courier New"/>
          <w:sz w:val="28"/>
          <w:szCs w:val="28"/>
        </w:rPr>
        <w:t>униципальная программа «Развитие и обслуживание информационно – коммуникационных технологий» (далее – Программа) утверждена с нарушениями раздела 2 Порядка</w:t>
      </w:r>
      <w:r>
        <w:rPr>
          <w:rFonts w:eastAsia="Courier New"/>
          <w:sz w:val="28"/>
          <w:szCs w:val="28"/>
        </w:rPr>
        <w:t>.</w:t>
      </w:r>
    </w:p>
    <w:p w:rsidR="004840E3" w:rsidRPr="004840E3" w:rsidRDefault="00427929" w:rsidP="00427929">
      <w:pPr>
        <w:pStyle w:val="1"/>
        <w:tabs>
          <w:tab w:val="left" w:pos="709"/>
        </w:tabs>
        <w:spacing w:before="0" w:line="240" w:lineRule="auto"/>
        <w:ind w:left="40"/>
        <w:rPr>
          <w:rFonts w:eastAsia="Courier New"/>
          <w:sz w:val="28"/>
          <w:szCs w:val="28"/>
        </w:rPr>
      </w:pPr>
      <w:r>
        <w:rPr>
          <w:rFonts w:eastAsia="Courier New"/>
          <w:sz w:val="28"/>
          <w:szCs w:val="28"/>
        </w:rPr>
        <w:tab/>
        <w:t xml:space="preserve">Финансирование </w:t>
      </w:r>
      <w:r w:rsidR="004840E3" w:rsidRPr="004840E3">
        <w:rPr>
          <w:rFonts w:eastAsia="Courier New"/>
          <w:sz w:val="28"/>
          <w:szCs w:val="28"/>
        </w:rPr>
        <w:t xml:space="preserve">Программы осуществлялось из Бюджета поселения и с учетом изменений в 2022 году составило – </w:t>
      </w:r>
      <w:r>
        <w:rPr>
          <w:rFonts w:eastAsia="Courier New"/>
          <w:sz w:val="28"/>
          <w:szCs w:val="28"/>
        </w:rPr>
        <w:t xml:space="preserve">1 011 700,93 </w:t>
      </w:r>
      <w:r w:rsidR="004840E3" w:rsidRPr="004840E3">
        <w:rPr>
          <w:rFonts w:eastAsia="Courier New"/>
          <w:sz w:val="28"/>
          <w:szCs w:val="28"/>
        </w:rPr>
        <w:t>руб.</w:t>
      </w:r>
    </w:p>
    <w:p w:rsidR="000010AC" w:rsidRPr="000010AC" w:rsidRDefault="004840E3" w:rsidP="004840E3">
      <w:pPr>
        <w:pStyle w:val="1"/>
        <w:tabs>
          <w:tab w:val="left" w:pos="709"/>
        </w:tabs>
        <w:spacing w:before="0" w:line="240" w:lineRule="auto"/>
        <w:ind w:left="40"/>
        <w:rPr>
          <w:rFonts w:eastAsia="Courier New"/>
          <w:sz w:val="28"/>
          <w:szCs w:val="28"/>
        </w:rPr>
      </w:pPr>
      <w:r>
        <w:rPr>
          <w:rFonts w:eastAsia="Courier New"/>
          <w:sz w:val="28"/>
          <w:szCs w:val="28"/>
        </w:rPr>
        <w:tab/>
      </w:r>
      <w:r w:rsidR="000010AC" w:rsidRPr="000010AC">
        <w:rPr>
          <w:rFonts w:eastAsia="Courier New"/>
          <w:sz w:val="28"/>
          <w:szCs w:val="28"/>
        </w:rPr>
        <w:t>В ходе реализации мероприятий Муниципальной программы в 202</w:t>
      </w:r>
      <w:r>
        <w:rPr>
          <w:rFonts w:eastAsia="Courier New"/>
          <w:sz w:val="28"/>
          <w:szCs w:val="28"/>
        </w:rPr>
        <w:t>2</w:t>
      </w:r>
      <w:r w:rsidR="000010AC" w:rsidRPr="000010AC">
        <w:rPr>
          <w:rFonts w:eastAsia="Courier New"/>
          <w:sz w:val="28"/>
          <w:szCs w:val="28"/>
        </w:rPr>
        <w:t xml:space="preserve"> году Администрацией заключено </w:t>
      </w:r>
      <w:r>
        <w:rPr>
          <w:rFonts w:eastAsia="Courier New"/>
          <w:sz w:val="28"/>
          <w:szCs w:val="28"/>
        </w:rPr>
        <w:t>1</w:t>
      </w:r>
      <w:r w:rsidR="00427929">
        <w:rPr>
          <w:rFonts w:eastAsia="Courier New"/>
          <w:sz w:val="28"/>
          <w:szCs w:val="28"/>
        </w:rPr>
        <w:t>2</w:t>
      </w:r>
      <w:r w:rsidR="000010AC" w:rsidRPr="000010AC">
        <w:rPr>
          <w:rFonts w:eastAsia="Courier New"/>
          <w:sz w:val="28"/>
          <w:szCs w:val="28"/>
        </w:rPr>
        <w:t xml:space="preserve"> муниципальных контракт</w:t>
      </w:r>
      <w:r w:rsidR="00D64A2B">
        <w:rPr>
          <w:rFonts w:eastAsia="Courier New"/>
          <w:sz w:val="28"/>
          <w:szCs w:val="28"/>
        </w:rPr>
        <w:t>а</w:t>
      </w:r>
      <w:r w:rsidR="000010AC" w:rsidRPr="000010AC">
        <w:rPr>
          <w:rFonts w:eastAsia="Courier New"/>
          <w:sz w:val="28"/>
          <w:szCs w:val="28"/>
        </w:rPr>
        <w:t xml:space="preserve"> на сумму </w:t>
      </w:r>
      <w:r w:rsidR="00427929">
        <w:rPr>
          <w:rFonts w:eastAsia="Courier New"/>
          <w:sz w:val="28"/>
          <w:szCs w:val="28"/>
        </w:rPr>
        <w:t xml:space="preserve">1 011 700,93 </w:t>
      </w:r>
      <w:r w:rsidRPr="004840E3">
        <w:rPr>
          <w:rFonts w:eastAsia="Courier New"/>
          <w:sz w:val="28"/>
          <w:szCs w:val="28"/>
        </w:rPr>
        <w:t>руб.</w:t>
      </w:r>
      <w:r>
        <w:rPr>
          <w:rFonts w:eastAsia="Courier New"/>
          <w:sz w:val="28"/>
          <w:szCs w:val="28"/>
        </w:rPr>
        <w:t>,</w:t>
      </w:r>
      <w:r w:rsidR="000010AC" w:rsidRPr="000010AC">
        <w:rPr>
          <w:rFonts w:eastAsia="Courier New"/>
          <w:sz w:val="28"/>
          <w:szCs w:val="28"/>
        </w:rPr>
        <w:t xml:space="preserve"> таким образом исполнено 100% от предусмотренного лимита денежных средств (в соответствии с данными отчета об исполнении бюджета по форме 0503117).</w:t>
      </w:r>
    </w:p>
    <w:p w:rsidR="009638D4" w:rsidRPr="00427929" w:rsidRDefault="00427929" w:rsidP="00092068">
      <w:pPr>
        <w:pStyle w:val="1"/>
        <w:tabs>
          <w:tab w:val="left" w:pos="709"/>
        </w:tabs>
        <w:spacing w:before="0" w:line="240" w:lineRule="auto"/>
        <w:ind w:left="40"/>
        <w:rPr>
          <w:rFonts w:eastAsia="Courier New"/>
          <w:sz w:val="28"/>
          <w:szCs w:val="28"/>
        </w:rPr>
      </w:pPr>
      <w:r w:rsidRPr="00427929">
        <w:rPr>
          <w:rFonts w:eastAsia="Courier New"/>
          <w:sz w:val="28"/>
          <w:szCs w:val="28"/>
        </w:rPr>
        <w:tab/>
        <w:t>Согласно показателям Отчета</w:t>
      </w:r>
      <w:r w:rsidRPr="00427929">
        <w:t xml:space="preserve"> </w:t>
      </w:r>
      <w:r w:rsidRPr="00427929">
        <w:rPr>
          <w:rFonts w:eastAsia="Courier New"/>
          <w:sz w:val="28"/>
          <w:szCs w:val="28"/>
        </w:rPr>
        <w:t>о достигнутых значениях целевых показателей муниципальной программы, эффективность реализации Программы составила не менее 90% и признана высокой.</w:t>
      </w:r>
      <w:r w:rsidR="000546BA" w:rsidRPr="00427929">
        <w:rPr>
          <w:rFonts w:eastAsia="Courier New"/>
          <w:sz w:val="28"/>
          <w:szCs w:val="28"/>
        </w:rPr>
        <w:tab/>
      </w:r>
    </w:p>
    <w:p w:rsidR="00427929" w:rsidRDefault="00427929" w:rsidP="004840E3">
      <w:pPr>
        <w:pStyle w:val="1"/>
        <w:shd w:val="clear" w:color="auto" w:fill="auto"/>
        <w:tabs>
          <w:tab w:val="left" w:pos="709"/>
        </w:tabs>
        <w:spacing w:before="0" w:line="240" w:lineRule="auto"/>
        <w:ind w:left="40" w:firstLine="720"/>
        <w:rPr>
          <w:sz w:val="28"/>
          <w:szCs w:val="28"/>
        </w:rPr>
      </w:pPr>
    </w:p>
    <w:p w:rsidR="0039546A" w:rsidRDefault="00BB2604" w:rsidP="004840E3">
      <w:pPr>
        <w:pStyle w:val="1"/>
        <w:shd w:val="clear" w:color="auto" w:fill="auto"/>
        <w:tabs>
          <w:tab w:val="left" w:pos="709"/>
        </w:tabs>
        <w:spacing w:before="0" w:line="240" w:lineRule="auto"/>
        <w:ind w:left="40" w:firstLine="720"/>
        <w:rPr>
          <w:sz w:val="28"/>
          <w:szCs w:val="28"/>
        </w:rPr>
      </w:pPr>
      <w:r w:rsidRPr="00A265BD">
        <w:rPr>
          <w:sz w:val="28"/>
          <w:szCs w:val="28"/>
        </w:rPr>
        <w:t>По результ</w:t>
      </w:r>
      <w:r w:rsidR="0012023B" w:rsidRPr="00A265BD">
        <w:rPr>
          <w:sz w:val="28"/>
          <w:szCs w:val="28"/>
        </w:rPr>
        <w:t xml:space="preserve">атам проверки составлен акт от </w:t>
      </w:r>
      <w:r w:rsidR="00427929">
        <w:rPr>
          <w:sz w:val="28"/>
          <w:szCs w:val="28"/>
        </w:rPr>
        <w:t>06</w:t>
      </w:r>
      <w:r w:rsidR="00A265BD" w:rsidRPr="00A265BD">
        <w:rPr>
          <w:sz w:val="28"/>
          <w:szCs w:val="28"/>
        </w:rPr>
        <w:t>.</w:t>
      </w:r>
      <w:r w:rsidR="004840E3">
        <w:rPr>
          <w:sz w:val="28"/>
          <w:szCs w:val="28"/>
        </w:rPr>
        <w:t>0</w:t>
      </w:r>
      <w:r w:rsidR="00427929">
        <w:rPr>
          <w:sz w:val="28"/>
          <w:szCs w:val="28"/>
        </w:rPr>
        <w:t>6</w:t>
      </w:r>
      <w:r w:rsidR="0029507F" w:rsidRPr="00A265BD">
        <w:rPr>
          <w:sz w:val="28"/>
          <w:szCs w:val="28"/>
        </w:rPr>
        <w:t>.</w:t>
      </w:r>
      <w:r w:rsidR="0012023B" w:rsidRPr="00A265BD">
        <w:rPr>
          <w:sz w:val="28"/>
          <w:szCs w:val="28"/>
        </w:rPr>
        <w:t>202</w:t>
      </w:r>
      <w:r w:rsidR="004840E3">
        <w:rPr>
          <w:sz w:val="28"/>
          <w:szCs w:val="28"/>
        </w:rPr>
        <w:t>3</w:t>
      </w:r>
      <w:r w:rsidR="0012023B" w:rsidRPr="00A265BD">
        <w:rPr>
          <w:sz w:val="28"/>
          <w:szCs w:val="28"/>
        </w:rPr>
        <w:t xml:space="preserve"> года № </w:t>
      </w:r>
      <w:r w:rsidR="00427929">
        <w:rPr>
          <w:sz w:val="28"/>
          <w:szCs w:val="28"/>
        </w:rPr>
        <w:t>20</w:t>
      </w:r>
      <w:r w:rsidRPr="00A265BD">
        <w:rPr>
          <w:sz w:val="28"/>
          <w:szCs w:val="28"/>
        </w:rPr>
        <w:t>.</w:t>
      </w:r>
    </w:p>
    <w:p w:rsidR="00857808" w:rsidRDefault="00857808" w:rsidP="000010AC">
      <w:pPr>
        <w:tabs>
          <w:tab w:val="left" w:pos="709"/>
        </w:tabs>
        <w:rPr>
          <w:sz w:val="28"/>
          <w:szCs w:val="28"/>
        </w:rPr>
      </w:pPr>
    </w:p>
    <w:p w:rsidR="00A138F6" w:rsidRDefault="00A138F6" w:rsidP="000010AC">
      <w:pPr>
        <w:tabs>
          <w:tab w:val="left" w:pos="709"/>
        </w:tabs>
        <w:rPr>
          <w:sz w:val="28"/>
          <w:szCs w:val="28"/>
        </w:rPr>
      </w:pPr>
    </w:p>
    <w:p w:rsidR="00427929" w:rsidRPr="00BB2604" w:rsidRDefault="00427929" w:rsidP="000010AC">
      <w:pPr>
        <w:tabs>
          <w:tab w:val="left" w:pos="709"/>
        </w:tabs>
        <w:rPr>
          <w:sz w:val="28"/>
          <w:szCs w:val="28"/>
        </w:rPr>
        <w:sectPr w:rsidR="00427929" w:rsidRPr="00BB2604" w:rsidSect="003D6F14">
          <w:headerReference w:type="default" r:id="rId7"/>
          <w:type w:val="continuous"/>
          <w:pgSz w:w="11906" w:h="16838"/>
          <w:pgMar w:top="709" w:right="567" w:bottom="709" w:left="1418" w:header="0" w:footer="3" w:gutter="0"/>
          <w:cols w:space="720"/>
          <w:noEndnote/>
          <w:titlePg/>
          <w:docGrid w:linePitch="360"/>
        </w:sectPr>
      </w:pPr>
    </w:p>
    <w:p w:rsidR="0039546A" w:rsidRPr="00BB2604" w:rsidRDefault="000F1E14" w:rsidP="000010AC">
      <w:pPr>
        <w:pStyle w:val="1"/>
        <w:shd w:val="clear" w:color="auto" w:fill="auto"/>
        <w:tabs>
          <w:tab w:val="left" w:pos="709"/>
        </w:tabs>
        <w:spacing w:before="0" w:line="240" w:lineRule="auto"/>
        <w:jc w:val="left"/>
        <w:rPr>
          <w:sz w:val="28"/>
          <w:szCs w:val="28"/>
        </w:rPr>
      </w:pPr>
      <w:r>
        <w:rPr>
          <w:sz w:val="28"/>
          <w:szCs w:val="28"/>
        </w:rPr>
        <w:lastRenderedPageBreak/>
        <w:t>Н</w:t>
      </w:r>
      <w:r w:rsidR="00BB2604" w:rsidRPr="00BB2604">
        <w:rPr>
          <w:sz w:val="28"/>
          <w:szCs w:val="28"/>
        </w:rPr>
        <w:t>ачальник отдела</w:t>
      </w:r>
    </w:p>
    <w:p w:rsidR="0039546A" w:rsidRPr="00BB2604" w:rsidRDefault="00BB2604" w:rsidP="000010AC">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29507F">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О.В. Радченко</w:t>
      </w:r>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CC" w:rsidRDefault="00A005CC">
      <w:r>
        <w:separator/>
      </w:r>
    </w:p>
  </w:endnote>
  <w:endnote w:type="continuationSeparator" w:id="0">
    <w:p w:rsidR="00A005CC" w:rsidRDefault="00A0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CC" w:rsidRDefault="00A005CC"/>
  </w:footnote>
  <w:footnote w:type="continuationSeparator" w:id="0">
    <w:p w:rsidR="00A005CC" w:rsidRDefault="00A005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654150"/>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924834">
          <w:rPr>
            <w:noProof/>
          </w:rPr>
          <w:t>2</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10AC"/>
    <w:rsid w:val="00003CA5"/>
    <w:rsid w:val="00016138"/>
    <w:rsid w:val="000374D8"/>
    <w:rsid w:val="000546BA"/>
    <w:rsid w:val="000713CA"/>
    <w:rsid w:val="00092068"/>
    <w:rsid w:val="000B2583"/>
    <w:rsid w:val="000B27A4"/>
    <w:rsid w:val="000F1E14"/>
    <w:rsid w:val="001009B8"/>
    <w:rsid w:val="0012023B"/>
    <w:rsid w:val="00130E7D"/>
    <w:rsid w:val="00133A7F"/>
    <w:rsid w:val="00141F41"/>
    <w:rsid w:val="0016476A"/>
    <w:rsid w:val="001930B5"/>
    <w:rsid w:val="001D4D55"/>
    <w:rsid w:val="001F6BB9"/>
    <w:rsid w:val="0020682E"/>
    <w:rsid w:val="00207960"/>
    <w:rsid w:val="0029507F"/>
    <w:rsid w:val="00306BFF"/>
    <w:rsid w:val="003164C6"/>
    <w:rsid w:val="00353F8B"/>
    <w:rsid w:val="0035777A"/>
    <w:rsid w:val="0039546A"/>
    <w:rsid w:val="003A2612"/>
    <w:rsid w:val="003A2A40"/>
    <w:rsid w:val="003D6F14"/>
    <w:rsid w:val="00427929"/>
    <w:rsid w:val="0046654C"/>
    <w:rsid w:val="004840E3"/>
    <w:rsid w:val="0048584D"/>
    <w:rsid w:val="004C44A0"/>
    <w:rsid w:val="004F79CB"/>
    <w:rsid w:val="00517818"/>
    <w:rsid w:val="00552D6D"/>
    <w:rsid w:val="005618E0"/>
    <w:rsid w:val="00602C59"/>
    <w:rsid w:val="00642DC3"/>
    <w:rsid w:val="00643DC0"/>
    <w:rsid w:val="006532D9"/>
    <w:rsid w:val="006547A3"/>
    <w:rsid w:val="00664D61"/>
    <w:rsid w:val="00685A4E"/>
    <w:rsid w:val="006D1458"/>
    <w:rsid w:val="006D1D15"/>
    <w:rsid w:val="006F4AB4"/>
    <w:rsid w:val="007123C1"/>
    <w:rsid w:val="0073734D"/>
    <w:rsid w:val="007678A8"/>
    <w:rsid w:val="00771E8A"/>
    <w:rsid w:val="0077235C"/>
    <w:rsid w:val="00772455"/>
    <w:rsid w:val="00794143"/>
    <w:rsid w:val="007B58E7"/>
    <w:rsid w:val="007D157B"/>
    <w:rsid w:val="00801337"/>
    <w:rsid w:val="00820D57"/>
    <w:rsid w:val="00837339"/>
    <w:rsid w:val="00857808"/>
    <w:rsid w:val="008E272E"/>
    <w:rsid w:val="00924834"/>
    <w:rsid w:val="00932F44"/>
    <w:rsid w:val="0094009F"/>
    <w:rsid w:val="00955A07"/>
    <w:rsid w:val="00955F95"/>
    <w:rsid w:val="00960449"/>
    <w:rsid w:val="009638D4"/>
    <w:rsid w:val="00973E1B"/>
    <w:rsid w:val="00976BAB"/>
    <w:rsid w:val="00985B1B"/>
    <w:rsid w:val="009E08A6"/>
    <w:rsid w:val="00A005CC"/>
    <w:rsid w:val="00A138F6"/>
    <w:rsid w:val="00A2576E"/>
    <w:rsid w:val="00A265BD"/>
    <w:rsid w:val="00A33913"/>
    <w:rsid w:val="00A54957"/>
    <w:rsid w:val="00AA33E0"/>
    <w:rsid w:val="00AE5611"/>
    <w:rsid w:val="00AE6544"/>
    <w:rsid w:val="00AE71D8"/>
    <w:rsid w:val="00AF25A8"/>
    <w:rsid w:val="00B213E4"/>
    <w:rsid w:val="00B456BC"/>
    <w:rsid w:val="00B92A66"/>
    <w:rsid w:val="00BA1D8B"/>
    <w:rsid w:val="00BB2604"/>
    <w:rsid w:val="00BC4CD6"/>
    <w:rsid w:val="00BD5FE5"/>
    <w:rsid w:val="00BF0C9C"/>
    <w:rsid w:val="00C111F9"/>
    <w:rsid w:val="00C62BB6"/>
    <w:rsid w:val="00CE1D09"/>
    <w:rsid w:val="00CF31B9"/>
    <w:rsid w:val="00D64A2B"/>
    <w:rsid w:val="00D75658"/>
    <w:rsid w:val="00D75FD6"/>
    <w:rsid w:val="00D81E96"/>
    <w:rsid w:val="00DE5686"/>
    <w:rsid w:val="00DF19D1"/>
    <w:rsid w:val="00DF349B"/>
    <w:rsid w:val="00E55442"/>
    <w:rsid w:val="00E73D40"/>
    <w:rsid w:val="00EC3F55"/>
    <w:rsid w:val="00EC73EA"/>
    <w:rsid w:val="00EE377C"/>
    <w:rsid w:val="00F05770"/>
    <w:rsid w:val="00F16AD3"/>
    <w:rsid w:val="00F233F8"/>
    <w:rsid w:val="00F84341"/>
    <w:rsid w:val="00FD0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96911E"/>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0FD5-4379-4E96-9E97-9FA8E051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61</cp:revision>
  <cp:lastPrinted>2023-06-06T11:29:00Z</cp:lastPrinted>
  <dcterms:created xsi:type="dcterms:W3CDTF">2020-08-20T11:44:00Z</dcterms:created>
  <dcterms:modified xsi:type="dcterms:W3CDTF">2023-06-16T11:35:00Z</dcterms:modified>
</cp:coreProperties>
</file>