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49D3" w:rsidRDefault="00CC1C22" w:rsidP="006B49D3">
      <w:pPr>
        <w:pStyle w:val="1"/>
      </w:pPr>
      <w:r>
        <w:fldChar w:fldCharType="begin"/>
      </w:r>
      <w:r>
        <w:instrText xml:space="preserve"> HYPERLINK "garantF1://70005066.0" </w:instrText>
      </w:r>
      <w:r>
        <w:fldChar w:fldCharType="separate"/>
      </w:r>
      <w:r w:rsidR="006B49D3">
        <w:rPr>
          <w:rStyle w:val="a4"/>
          <w:b w:val="0"/>
          <w:bCs w:val="0"/>
        </w:rPr>
        <w:t>Конвенция</w:t>
      </w:r>
      <w:r w:rsidR="006B49D3">
        <w:rPr>
          <w:rStyle w:val="a4"/>
          <w:b w:val="0"/>
          <w:bCs w:val="0"/>
        </w:rPr>
        <w:br/>
        <w:t>по борьбе с подкупом иностранных должностных лиц при осуществлении международных коммерческих сделок</w:t>
      </w:r>
      <w:r w:rsidR="006B49D3">
        <w:rPr>
          <w:rStyle w:val="a4"/>
          <w:b w:val="0"/>
          <w:bCs w:val="0"/>
        </w:rPr>
        <w:br/>
        <w:t>(Стамбул, 21 ноября 1997 г.)</w:t>
      </w:r>
      <w:r>
        <w:rPr>
          <w:rStyle w:val="a4"/>
          <w:b w:val="0"/>
          <w:bCs w:val="0"/>
        </w:rPr>
        <w:fldChar w:fldCharType="end"/>
      </w:r>
    </w:p>
    <w:p w:rsidR="006B49D3" w:rsidRDefault="006B49D3" w:rsidP="006B49D3"/>
    <w:p w:rsidR="006B49D3" w:rsidRDefault="006B49D3" w:rsidP="006B49D3">
      <w:pPr>
        <w:pStyle w:val="1"/>
      </w:pPr>
      <w:bookmarkStart w:id="1" w:name="sub_100"/>
      <w:r>
        <w:t>Преамбула</w:t>
      </w:r>
    </w:p>
    <w:bookmarkEnd w:id="1"/>
    <w:p w:rsidR="006B49D3" w:rsidRDefault="006B49D3" w:rsidP="006B49D3"/>
    <w:p w:rsidR="006B49D3" w:rsidRDefault="006B49D3" w:rsidP="006B49D3">
      <w:r>
        <w:t>Стороны,</w:t>
      </w:r>
    </w:p>
    <w:p w:rsidR="006B49D3" w:rsidRDefault="006B49D3" w:rsidP="006B49D3">
      <w: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6B49D3" w:rsidRDefault="006B49D3" w:rsidP="006B49D3">
      <w:r>
        <w:t xml:space="preserve">учитывая, что на всех странах лежит общая ответственность за ведение борьбы </w:t>
      </w:r>
      <w:proofErr w:type="gramStart"/>
      <w:r>
        <w:t>с</w:t>
      </w:r>
      <w:proofErr w:type="gramEnd"/>
      <w:r>
        <w:t xml:space="preserve"> подкупом при проведении международных коммерческих сделок;</w:t>
      </w:r>
    </w:p>
    <w:p w:rsidR="006B49D3" w:rsidRDefault="006B49D3" w:rsidP="006B49D3">
      <w:proofErr w:type="gramStart"/>
      <w:r>
        <w:t>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t xml:space="preserve"> такого подкупа путем эффективных и скоординированных действий и в соответствии с изложенными в Рекомендации согласованными общими элементами, а также </w:t>
      </w:r>
      <w:proofErr w:type="spellStart"/>
      <w:r>
        <w:t>юрисдикционными</w:t>
      </w:r>
      <w:proofErr w:type="spellEnd"/>
      <w:r>
        <w:t xml:space="preserve"> и иными базовыми правовыми принципами каждой страны;</w:t>
      </w:r>
    </w:p>
    <w:p w:rsidR="006B49D3" w:rsidRDefault="006B49D3" w:rsidP="006B49D3">
      <w: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6B49D3" w:rsidRDefault="006B49D3" w:rsidP="006B49D3">
      <w:r>
        <w:t>приветствуя усилия компаний, деловых организаций и профсоюзов, а также других неправительственных организаций в сфере борьбы с подкупом;</w:t>
      </w:r>
    </w:p>
    <w:p w:rsidR="006B49D3" w:rsidRDefault="006B49D3" w:rsidP="006B49D3">
      <w:r>
        <w:t>признавая роль правитель</w:t>
      </w:r>
      <w:proofErr w:type="gramStart"/>
      <w:r>
        <w:t>ств в пр</w:t>
      </w:r>
      <w:proofErr w:type="gramEnd"/>
      <w: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6B49D3" w:rsidRDefault="006B49D3" w:rsidP="006B49D3">
      <w: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6B49D3" w:rsidRDefault="006B49D3" w:rsidP="006B49D3">
      <w: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6B49D3" w:rsidRDefault="006B49D3" w:rsidP="006B49D3">
      <w:r>
        <w:t>согласились о нижеследующем:</w:t>
      </w:r>
    </w:p>
    <w:p w:rsidR="006B49D3" w:rsidRDefault="006B49D3" w:rsidP="006B49D3"/>
    <w:p w:rsidR="006B49D3" w:rsidRDefault="006B49D3" w:rsidP="006B49D3">
      <w:pPr>
        <w:pStyle w:val="1"/>
      </w:pPr>
      <w:bookmarkStart w:id="2" w:name="sub_1"/>
      <w:r>
        <w:t>Статья 1</w:t>
      </w:r>
      <w:r>
        <w:br/>
        <w:t>Подкуп иностранных должностных лиц</w:t>
      </w:r>
    </w:p>
    <w:bookmarkEnd w:id="2"/>
    <w:p w:rsidR="006B49D3" w:rsidRDefault="006B49D3" w:rsidP="006B49D3"/>
    <w:p w:rsidR="006B49D3" w:rsidRDefault="006B49D3" w:rsidP="006B49D3">
      <w:bookmarkStart w:id="3" w:name="sub_110"/>
      <w:r>
        <w:t xml:space="preserve">1. </w:t>
      </w:r>
      <w:proofErr w:type="gramStart"/>
      <w:r>
        <w:t xml:space="preserve">Каждая Сторона в соответствии с внутренним законодательством принимает необходимые меры для признания в качестве </w:t>
      </w:r>
      <w:proofErr w:type="spellStart"/>
      <w:r>
        <w:t>уголовнонаказуемых</w:t>
      </w:r>
      <w:proofErr w:type="spellEnd"/>
      <w:r>
        <w:t xml:space="preserve"> деяний умышленное </w:t>
      </w:r>
      <w:r>
        <w:lastRenderedPageBreak/>
        <w:t>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w:t>
      </w:r>
      <w:proofErr w:type="gramEnd"/>
      <w:r>
        <w:t xml:space="preserve"> получения или сохранения коммерческого или иного неправомерного преимущества в связи с осуществлением международной коммерческой сделки.</w:t>
      </w:r>
    </w:p>
    <w:p w:rsidR="006B49D3" w:rsidRDefault="006B49D3" w:rsidP="006B49D3">
      <w:bookmarkStart w:id="4" w:name="sub_120"/>
      <w:bookmarkEnd w:id="3"/>
      <w:r>
        <w:t xml:space="preserve">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w:t>
      </w:r>
      <w:proofErr w:type="spellStart"/>
      <w:r>
        <w:t>уголовнонаказуемым</w:t>
      </w:r>
      <w:proofErr w:type="spellEnd"/>
      <w:r>
        <w:t xml:space="preserve"> деянием. Покушение на подкуп или сговор с целью подкупа иностранного должностного лица являются </w:t>
      </w:r>
      <w:proofErr w:type="spellStart"/>
      <w:r>
        <w:t>уголовнонаказуемым</w:t>
      </w:r>
      <w:proofErr w:type="spellEnd"/>
      <w:r>
        <w:t xml:space="preserve"> деянием в той же степени, что и покушение на подкуп или сговор с целью подкупа должностного лица данной Стороны.</w:t>
      </w:r>
    </w:p>
    <w:p w:rsidR="006B49D3" w:rsidRDefault="006B49D3" w:rsidP="006B49D3">
      <w:bookmarkStart w:id="5" w:name="sub_130"/>
      <w:bookmarkEnd w:id="4"/>
      <w:r>
        <w:t xml:space="preserve">3. Деяния, определенные в </w:t>
      </w:r>
      <w:hyperlink w:anchor="sub_110" w:history="1">
        <w:proofErr w:type="spellStart"/>
        <w:r>
          <w:rPr>
            <w:rStyle w:val="a4"/>
          </w:rPr>
          <w:t>п.п</w:t>
        </w:r>
        <w:proofErr w:type="spellEnd"/>
        <w:r>
          <w:rPr>
            <w:rStyle w:val="a4"/>
          </w:rPr>
          <w:t>. 1</w:t>
        </w:r>
      </w:hyperlink>
      <w:r>
        <w:t xml:space="preserve"> и </w:t>
      </w:r>
      <w:hyperlink w:anchor="sub_120" w:history="1">
        <w:r>
          <w:rPr>
            <w:rStyle w:val="a4"/>
          </w:rPr>
          <w:t>2</w:t>
        </w:r>
      </w:hyperlink>
      <w:r>
        <w:t xml:space="preserve"> настоящей статьи в дальнейшем именуются "подкуп иностранного должностного лица".</w:t>
      </w:r>
    </w:p>
    <w:p w:rsidR="006B49D3" w:rsidRDefault="006B49D3" w:rsidP="006B49D3">
      <w:bookmarkStart w:id="6" w:name="sub_140"/>
      <w:bookmarkEnd w:id="5"/>
      <w:r>
        <w:t>4. Для целей настоящей Конвенции:</w:t>
      </w:r>
    </w:p>
    <w:p w:rsidR="006B49D3" w:rsidRDefault="006B49D3" w:rsidP="006B49D3">
      <w:bookmarkStart w:id="7" w:name="sub_1410"/>
      <w:bookmarkEnd w:id="6"/>
      <w:r>
        <w:t xml:space="preserve">a. термин </w:t>
      </w:r>
      <w:r>
        <w:rPr>
          <w:rStyle w:val="a3"/>
          <w:bCs/>
        </w:rPr>
        <w:t>"иностранное должностное лицо"</w:t>
      </w:r>
      <w:r>
        <w:t xml:space="preserve"> означает любое лицо, занимающее назначаемую или выборную должность в органе законодательной, исполнительной или судебной власти </w:t>
      </w:r>
      <w:hyperlink w:anchor="sub_1420" w:history="1">
        <w:r>
          <w:rPr>
            <w:rStyle w:val="a4"/>
          </w:rPr>
          <w:t>иностранного государства</w:t>
        </w:r>
      </w:hyperlink>
      <w:r>
        <w:t>,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6B49D3" w:rsidRDefault="006B49D3" w:rsidP="006B49D3">
      <w:bookmarkStart w:id="8" w:name="sub_1420"/>
      <w:bookmarkEnd w:id="7"/>
      <w:r>
        <w:t xml:space="preserve">b. термин </w:t>
      </w:r>
      <w:r>
        <w:rPr>
          <w:rStyle w:val="a3"/>
          <w:bCs/>
        </w:rPr>
        <w:t>"иностранное государство"</w:t>
      </w:r>
      <w:r>
        <w:t xml:space="preserve"> включает все уровни и структуры системы государственного и муниципального управления от центральных до местных органов власти;</w:t>
      </w:r>
    </w:p>
    <w:p w:rsidR="006B49D3" w:rsidRDefault="006B49D3" w:rsidP="006B49D3">
      <w:bookmarkStart w:id="9" w:name="sub_1430"/>
      <w:bookmarkEnd w:id="8"/>
      <w:r>
        <w:t xml:space="preserve">c. понятие </w:t>
      </w:r>
      <w:r>
        <w:rPr>
          <w:rStyle w:val="a3"/>
          <w:bCs/>
        </w:rPr>
        <w:t>"действовать или бездействовать в связи с выполнением официальных обязанностей"</w:t>
      </w:r>
      <w:r>
        <w:t xml:space="preserve"> охватывает любое использование должностным лицом своих полномочий независимо от того, находятся ли они в рамках его компетенции.</w:t>
      </w:r>
    </w:p>
    <w:bookmarkEnd w:id="9"/>
    <w:p w:rsidR="006B49D3" w:rsidRDefault="006B49D3" w:rsidP="006B49D3"/>
    <w:p w:rsidR="006B49D3" w:rsidRDefault="006B49D3" w:rsidP="006B49D3">
      <w:pPr>
        <w:pStyle w:val="1"/>
      </w:pPr>
      <w:bookmarkStart w:id="10" w:name="sub_2"/>
      <w:r>
        <w:t>Статья 2</w:t>
      </w:r>
      <w:r>
        <w:br/>
        <w:t>Ответственность юридических лиц</w:t>
      </w:r>
    </w:p>
    <w:bookmarkEnd w:id="10"/>
    <w:p w:rsidR="006B49D3" w:rsidRDefault="006B49D3" w:rsidP="006B49D3"/>
    <w:p w:rsidR="006B49D3" w:rsidRDefault="006B49D3" w:rsidP="006B49D3">
      <w: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6B49D3" w:rsidRDefault="006B49D3" w:rsidP="006B49D3"/>
    <w:p w:rsidR="006B49D3" w:rsidRDefault="006B49D3" w:rsidP="006B49D3">
      <w:pPr>
        <w:pStyle w:val="1"/>
      </w:pPr>
      <w:bookmarkStart w:id="11" w:name="sub_3"/>
      <w:r>
        <w:t>Статья 3</w:t>
      </w:r>
      <w:r>
        <w:br/>
        <w:t>Санкции</w:t>
      </w:r>
    </w:p>
    <w:bookmarkEnd w:id="11"/>
    <w:p w:rsidR="006B49D3" w:rsidRDefault="006B49D3" w:rsidP="006B49D3"/>
    <w:p w:rsidR="006B49D3" w:rsidRDefault="006B49D3" w:rsidP="006B49D3">
      <w:bookmarkStart w:id="12" w:name="sub_31"/>
      <w:r>
        <w:t xml:space="preserve">1. Подкуп </w:t>
      </w:r>
      <w:hyperlink w:anchor="sub_1410" w:history="1">
        <w:r>
          <w:rPr>
            <w:rStyle w:val="a4"/>
          </w:rPr>
          <w:t>иностранного должностного лица</w:t>
        </w:r>
      </w:hyperlink>
      <w:r>
        <w:t xml:space="preserve">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6B49D3" w:rsidRDefault="006B49D3" w:rsidP="006B49D3">
      <w:bookmarkStart w:id="13" w:name="sub_32"/>
      <w:bookmarkEnd w:id="12"/>
      <w: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w:t>
      </w:r>
      <w:r>
        <w:lastRenderedPageBreak/>
        <w:t xml:space="preserve">обеспечит применение эффективного и соразмерного </w:t>
      </w:r>
      <w:proofErr w:type="spellStart"/>
      <w:r>
        <w:t>неуголовного</w:t>
      </w:r>
      <w:proofErr w:type="spellEnd"/>
      <w:r>
        <w:t xml:space="preserve"> наказания, носящего сдерживающее воздействие, за подкуп иностранных должностных лиц, включая финансовые санкции.</w:t>
      </w:r>
    </w:p>
    <w:p w:rsidR="006B49D3" w:rsidRDefault="006B49D3" w:rsidP="006B49D3">
      <w:bookmarkStart w:id="14" w:name="sub_33"/>
      <w:bookmarkEnd w:id="13"/>
      <w: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6B49D3" w:rsidRDefault="006B49D3" w:rsidP="006B49D3">
      <w:bookmarkStart w:id="15" w:name="sub_34"/>
      <w:bookmarkEnd w:id="14"/>
      <w: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bookmarkEnd w:id="15"/>
    <w:p w:rsidR="006B49D3" w:rsidRDefault="006B49D3" w:rsidP="006B49D3"/>
    <w:p w:rsidR="006B49D3" w:rsidRDefault="006B49D3" w:rsidP="006B49D3">
      <w:pPr>
        <w:pStyle w:val="1"/>
      </w:pPr>
      <w:bookmarkStart w:id="16" w:name="sub_4"/>
      <w:r>
        <w:t>Статья 4</w:t>
      </w:r>
      <w:r>
        <w:br/>
        <w:t>Юрисдикция</w:t>
      </w:r>
    </w:p>
    <w:bookmarkEnd w:id="16"/>
    <w:p w:rsidR="006B49D3" w:rsidRDefault="006B49D3" w:rsidP="006B49D3"/>
    <w:p w:rsidR="006B49D3" w:rsidRDefault="006B49D3" w:rsidP="006B49D3">
      <w:bookmarkStart w:id="17" w:name="sub_41"/>
      <w: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6B49D3" w:rsidRDefault="006B49D3" w:rsidP="006B49D3">
      <w:bookmarkStart w:id="18" w:name="sub_42"/>
      <w:bookmarkEnd w:id="17"/>
      <w: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6B49D3" w:rsidRDefault="006B49D3" w:rsidP="006B49D3">
      <w:bookmarkStart w:id="19" w:name="sub_43"/>
      <w:bookmarkEnd w:id="18"/>
      <w: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6B49D3" w:rsidRDefault="006B49D3" w:rsidP="006B49D3">
      <w:bookmarkStart w:id="20" w:name="sub_44"/>
      <w:bookmarkEnd w:id="19"/>
      <w: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bookmarkEnd w:id="20"/>
    <w:p w:rsidR="006B49D3" w:rsidRDefault="006B49D3" w:rsidP="006B49D3"/>
    <w:p w:rsidR="006B49D3" w:rsidRDefault="006B49D3" w:rsidP="006B49D3">
      <w:pPr>
        <w:pStyle w:val="1"/>
      </w:pPr>
      <w:bookmarkStart w:id="21" w:name="sub_5"/>
      <w:r>
        <w:t>Статья 5</w:t>
      </w:r>
      <w:r>
        <w:br/>
      </w:r>
      <w:proofErr w:type="spellStart"/>
      <w:r>
        <w:t>Правоприменение</w:t>
      </w:r>
      <w:proofErr w:type="spellEnd"/>
    </w:p>
    <w:bookmarkEnd w:id="21"/>
    <w:p w:rsidR="006B49D3" w:rsidRDefault="006B49D3" w:rsidP="006B49D3"/>
    <w:p w:rsidR="006B49D3" w:rsidRDefault="006B49D3" w:rsidP="006B49D3">
      <w: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6B49D3" w:rsidRDefault="006B49D3" w:rsidP="006B49D3"/>
    <w:p w:rsidR="006B49D3" w:rsidRDefault="006B49D3" w:rsidP="006B49D3">
      <w:pPr>
        <w:pStyle w:val="1"/>
      </w:pPr>
      <w:bookmarkStart w:id="22" w:name="sub_6"/>
      <w:r>
        <w:t>Статья 6</w:t>
      </w:r>
      <w:r>
        <w:br/>
        <w:t>Срок давности</w:t>
      </w:r>
    </w:p>
    <w:bookmarkEnd w:id="22"/>
    <w:p w:rsidR="006B49D3" w:rsidRDefault="006B49D3" w:rsidP="006B49D3"/>
    <w:p w:rsidR="006B49D3" w:rsidRDefault="006B49D3" w:rsidP="006B49D3">
      <w: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6B49D3" w:rsidRDefault="006B49D3" w:rsidP="006B49D3"/>
    <w:p w:rsidR="006B49D3" w:rsidRDefault="006B49D3" w:rsidP="006B49D3">
      <w:pPr>
        <w:pStyle w:val="1"/>
      </w:pPr>
      <w:bookmarkStart w:id="23" w:name="sub_7"/>
      <w:r>
        <w:t>Статья 7</w:t>
      </w:r>
      <w:r>
        <w:br/>
        <w:t>Отмывание денег</w:t>
      </w:r>
    </w:p>
    <w:bookmarkEnd w:id="23"/>
    <w:p w:rsidR="006B49D3" w:rsidRDefault="006B49D3" w:rsidP="006B49D3"/>
    <w:p w:rsidR="006B49D3" w:rsidRDefault="006B49D3" w:rsidP="006B49D3">
      <w: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6B49D3" w:rsidRDefault="006B49D3" w:rsidP="006B49D3"/>
    <w:p w:rsidR="006B49D3" w:rsidRDefault="006B49D3" w:rsidP="006B49D3">
      <w:pPr>
        <w:pStyle w:val="1"/>
      </w:pPr>
      <w:bookmarkStart w:id="24" w:name="sub_8"/>
      <w:r>
        <w:t>Статья 8</w:t>
      </w:r>
      <w:r>
        <w:br/>
        <w:t>Учет</w:t>
      </w:r>
    </w:p>
    <w:bookmarkEnd w:id="24"/>
    <w:p w:rsidR="006B49D3" w:rsidRDefault="006B49D3" w:rsidP="006B49D3"/>
    <w:p w:rsidR="006B49D3" w:rsidRDefault="006B49D3" w:rsidP="006B49D3">
      <w:bookmarkStart w:id="25" w:name="sub_81"/>
      <w:r>
        <w:t xml:space="preserve">1. </w:t>
      </w:r>
      <w:proofErr w:type="gramStart"/>
      <w: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6B49D3" w:rsidRDefault="006B49D3" w:rsidP="006B49D3">
      <w:bookmarkStart w:id="26" w:name="sub_82"/>
      <w:bookmarkEnd w:id="25"/>
      <w: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bookmarkEnd w:id="26"/>
    <w:p w:rsidR="006B49D3" w:rsidRDefault="006B49D3" w:rsidP="006B49D3"/>
    <w:p w:rsidR="006B49D3" w:rsidRDefault="006B49D3" w:rsidP="006B49D3">
      <w:pPr>
        <w:pStyle w:val="1"/>
      </w:pPr>
      <w:bookmarkStart w:id="27" w:name="sub_9"/>
      <w:r>
        <w:t>Статья 9</w:t>
      </w:r>
      <w:r>
        <w:br/>
        <w:t>Взаимная правовая помощь</w:t>
      </w:r>
    </w:p>
    <w:bookmarkEnd w:id="27"/>
    <w:p w:rsidR="006B49D3" w:rsidRDefault="006B49D3" w:rsidP="006B49D3"/>
    <w:p w:rsidR="006B49D3" w:rsidRDefault="006B49D3" w:rsidP="006B49D3">
      <w:bookmarkStart w:id="28" w:name="sub_91"/>
      <w: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t>неуголовных</w:t>
      </w:r>
      <w:proofErr w:type="spellEnd"/>
      <w: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6B49D3" w:rsidRDefault="006B49D3" w:rsidP="006B49D3">
      <w:bookmarkStart w:id="29" w:name="sub_92"/>
      <w:bookmarkEnd w:id="28"/>
      <w:r>
        <w:t xml:space="preserve">2. </w:t>
      </w:r>
      <w:proofErr w:type="gramStart"/>
      <w: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6B49D3" w:rsidRDefault="006B49D3" w:rsidP="006B49D3">
      <w:bookmarkStart w:id="30" w:name="sub_93"/>
      <w:bookmarkEnd w:id="29"/>
      <w:r>
        <w:t xml:space="preserve">3. Сторона не </w:t>
      </w:r>
      <w:proofErr w:type="gramStart"/>
      <w:r>
        <w:t>в праве</w:t>
      </w:r>
      <w:proofErr w:type="gramEnd"/>
      <w:r>
        <w:t xml:space="preserve">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bookmarkEnd w:id="30"/>
    <w:p w:rsidR="006B49D3" w:rsidRDefault="006B49D3" w:rsidP="006B49D3"/>
    <w:p w:rsidR="006B49D3" w:rsidRDefault="006B49D3" w:rsidP="006B49D3">
      <w:pPr>
        <w:pStyle w:val="1"/>
      </w:pPr>
      <w:bookmarkStart w:id="31" w:name="sub_10"/>
      <w:r>
        <w:t>Статья 10</w:t>
      </w:r>
      <w:r>
        <w:br/>
        <w:t>Экстрадиция</w:t>
      </w:r>
    </w:p>
    <w:bookmarkEnd w:id="31"/>
    <w:p w:rsidR="006B49D3" w:rsidRDefault="006B49D3" w:rsidP="006B49D3"/>
    <w:p w:rsidR="006B49D3" w:rsidRDefault="006B49D3" w:rsidP="006B49D3">
      <w:bookmarkStart w:id="32" w:name="sub_101"/>
      <w:r>
        <w:t xml:space="preserve">1. В соответствии с законами Сторон и положениями заключаемых ими договоров </w:t>
      </w:r>
      <w:r>
        <w:lastRenderedPageBreak/>
        <w:t>об экстрадиции подкуп иностранного должностного лица должен быть отнесен к категории преступлений, по которым осуществляется экстрадиция.</w:t>
      </w:r>
    </w:p>
    <w:p w:rsidR="006B49D3" w:rsidRDefault="006B49D3" w:rsidP="006B49D3">
      <w:bookmarkStart w:id="33" w:name="sub_102"/>
      <w:bookmarkEnd w:id="32"/>
      <w: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6B49D3" w:rsidRDefault="006B49D3" w:rsidP="006B49D3">
      <w:bookmarkStart w:id="34" w:name="sub_103"/>
      <w:bookmarkEnd w:id="33"/>
      <w: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6B49D3" w:rsidRDefault="006B49D3" w:rsidP="006B49D3">
      <w:bookmarkStart w:id="35" w:name="sub_104"/>
      <w:bookmarkEnd w:id="34"/>
      <w: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sub_1" w:history="1">
        <w:r>
          <w:rPr>
            <w:rStyle w:val="a4"/>
          </w:rPr>
          <w:t>статье 1</w:t>
        </w:r>
      </w:hyperlink>
      <w:r>
        <w:t xml:space="preserve"> данной Конвенции.</w:t>
      </w:r>
    </w:p>
    <w:bookmarkEnd w:id="35"/>
    <w:p w:rsidR="006B49D3" w:rsidRDefault="006B49D3" w:rsidP="006B49D3"/>
    <w:p w:rsidR="006B49D3" w:rsidRDefault="006B49D3" w:rsidP="006B49D3">
      <w:pPr>
        <w:pStyle w:val="1"/>
      </w:pPr>
      <w:bookmarkStart w:id="36" w:name="sub_11"/>
      <w:r>
        <w:t>Статья 11</w:t>
      </w:r>
      <w:r>
        <w:br/>
        <w:t>Ответственные органы</w:t>
      </w:r>
    </w:p>
    <w:bookmarkEnd w:id="36"/>
    <w:p w:rsidR="006B49D3" w:rsidRDefault="006B49D3" w:rsidP="006B49D3"/>
    <w:p w:rsidR="006B49D3" w:rsidRDefault="006B49D3" w:rsidP="006B49D3">
      <w:proofErr w:type="gramStart"/>
      <w:r>
        <w:t xml:space="preserve">Для целей </w:t>
      </w:r>
      <w:hyperlink w:anchor="sub_43" w:history="1">
        <w:r>
          <w:rPr>
            <w:rStyle w:val="a4"/>
          </w:rPr>
          <w:t>пункта 3 статьи 4</w:t>
        </w:r>
      </w:hyperlink>
      <w:r>
        <w:t xml:space="preserve"> (о консультациях), </w:t>
      </w:r>
      <w:hyperlink w:anchor="sub_9" w:history="1">
        <w:r>
          <w:rPr>
            <w:rStyle w:val="a4"/>
          </w:rPr>
          <w:t>статьи 9</w:t>
        </w:r>
      </w:hyperlink>
      <w:r>
        <w:t xml:space="preserve"> (об оказании взаимной правовой помощи) и </w:t>
      </w:r>
      <w:hyperlink w:anchor="sub_10" w:history="1">
        <w:r>
          <w:rPr>
            <w:rStyle w:val="a4"/>
          </w:rPr>
          <w:t>статьи 10</w:t>
        </w:r>
      </w:hyperlink>
      <w:r>
        <w:t xml:space="preserve"> (об экстрадиции) каждая Сторона обязуется извещать Генерального секретаря ОЭСР о том, какой (какие) </w:t>
      </w:r>
      <w:hyperlink r:id="rId5" w:history="1">
        <w:r>
          <w:rPr>
            <w:rStyle w:val="a4"/>
          </w:rPr>
          <w:t>орган (органы)</w:t>
        </w:r>
      </w:hyperlink>
      <w:r>
        <w:t xml:space="preserve">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6B49D3" w:rsidRDefault="006B49D3" w:rsidP="006B49D3"/>
    <w:p w:rsidR="006B49D3" w:rsidRDefault="006B49D3" w:rsidP="006B49D3">
      <w:pPr>
        <w:pStyle w:val="1"/>
      </w:pPr>
      <w:bookmarkStart w:id="37" w:name="sub_12"/>
      <w:r>
        <w:t>Статья 12</w:t>
      </w:r>
      <w:r>
        <w:br/>
        <w:t>Обзор и последующие мероприятия</w:t>
      </w:r>
    </w:p>
    <w:bookmarkEnd w:id="37"/>
    <w:p w:rsidR="006B49D3" w:rsidRDefault="006B49D3" w:rsidP="006B49D3"/>
    <w:p w:rsidR="006B49D3" w:rsidRDefault="006B49D3" w:rsidP="006B49D3">
      <w: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w:t>
      </w:r>
      <w:proofErr w:type="gramEnd"/>
      <w:r>
        <w:t xml:space="preserve"> с правилами, применимыми к деятельности такого органа.</w:t>
      </w:r>
    </w:p>
    <w:p w:rsidR="006B49D3" w:rsidRDefault="006B49D3" w:rsidP="006B49D3"/>
    <w:p w:rsidR="006B49D3" w:rsidRDefault="006B49D3" w:rsidP="006B49D3">
      <w:pPr>
        <w:pStyle w:val="1"/>
      </w:pPr>
      <w:bookmarkStart w:id="38" w:name="sub_13"/>
      <w:r>
        <w:t>Статья 13</w:t>
      </w:r>
      <w:r>
        <w:br/>
        <w:t>Подписание и присоединение</w:t>
      </w:r>
    </w:p>
    <w:bookmarkEnd w:id="38"/>
    <w:p w:rsidR="006B49D3" w:rsidRDefault="006B49D3" w:rsidP="006B49D3"/>
    <w:p w:rsidR="006B49D3" w:rsidRDefault="006B49D3" w:rsidP="006B49D3">
      <w:bookmarkStart w:id="39" w:name="sub_131"/>
      <w:r>
        <w:t xml:space="preserve">1. До </w:t>
      </w:r>
      <w:hyperlink w:anchor="sub_151" w:history="1">
        <w:r>
          <w:rPr>
            <w:rStyle w:val="a4"/>
          </w:rPr>
          <w:t>вступления в силу</w:t>
        </w:r>
      </w:hyperlink>
      <w:r>
        <w:t xml:space="preserve"> данная Конвенция будет открыта для подписания </w:t>
      </w:r>
      <w:r>
        <w:lastRenderedPageBreak/>
        <w:t>странами - 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6B49D3" w:rsidRDefault="006B49D3" w:rsidP="006B49D3">
      <w:bookmarkStart w:id="40" w:name="sub_132"/>
      <w:bookmarkEnd w:id="39"/>
      <w:r>
        <w:t xml:space="preserve">2. После </w:t>
      </w:r>
      <w:hyperlink w:anchor="sub_151" w:history="1">
        <w:r>
          <w:rPr>
            <w:rStyle w:val="a4"/>
          </w:rPr>
          <w:t>вступления в силу</w:t>
        </w:r>
      </w:hyperlink>
      <w:r>
        <w:t xml:space="preserve">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bookmarkEnd w:id="40"/>
    <w:p w:rsidR="006B49D3" w:rsidRDefault="006B49D3" w:rsidP="006B49D3"/>
    <w:p w:rsidR="006B49D3" w:rsidRDefault="006B49D3" w:rsidP="006B49D3">
      <w:pPr>
        <w:pStyle w:val="1"/>
      </w:pPr>
      <w:bookmarkStart w:id="41" w:name="sub_14"/>
      <w:r>
        <w:t>Статья 14</w:t>
      </w:r>
      <w:r>
        <w:br/>
        <w:t>Ратификация и депозитарий</w:t>
      </w:r>
    </w:p>
    <w:bookmarkEnd w:id="41"/>
    <w:p w:rsidR="006B49D3" w:rsidRDefault="006B49D3" w:rsidP="006B49D3"/>
    <w:p w:rsidR="006B49D3" w:rsidRDefault="006B49D3" w:rsidP="006B49D3">
      <w:bookmarkStart w:id="42" w:name="sub_141"/>
      <w:r>
        <w:t>1. Данная Конвенция подлежит принятию, утверждению или ратификации Сторонами, подписавшими ее, в соответствии с их законами.</w:t>
      </w:r>
    </w:p>
    <w:p w:rsidR="006B49D3" w:rsidRDefault="006B49D3" w:rsidP="006B49D3">
      <w:bookmarkStart w:id="43" w:name="sub_142"/>
      <w:bookmarkEnd w:id="42"/>
      <w: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bookmarkEnd w:id="43"/>
    <w:p w:rsidR="006B49D3" w:rsidRDefault="006B49D3" w:rsidP="006B49D3"/>
    <w:p w:rsidR="006B49D3" w:rsidRDefault="006B49D3" w:rsidP="006B49D3">
      <w:pPr>
        <w:pStyle w:val="1"/>
      </w:pPr>
      <w:bookmarkStart w:id="44" w:name="sub_15"/>
      <w:r>
        <w:t>Статья 15</w:t>
      </w:r>
      <w:r>
        <w:br/>
        <w:t>Вступление в силу</w:t>
      </w:r>
    </w:p>
    <w:bookmarkEnd w:id="44"/>
    <w:p w:rsidR="006B49D3" w:rsidRDefault="006B49D3" w:rsidP="006B49D3"/>
    <w:p w:rsidR="006B49D3" w:rsidRDefault="006B49D3" w:rsidP="006B49D3">
      <w:bookmarkStart w:id="45" w:name="sub_151"/>
      <w:r>
        <w:t xml:space="preserve">1. Конвенция вступает в силу на шестидесятый день </w:t>
      </w:r>
      <w:proofErr w:type="gramStart"/>
      <w:r>
        <w:t>с даты депонирования</w:t>
      </w:r>
      <w:proofErr w:type="gramEnd"/>
      <w: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bookmarkEnd w:id="45"/>
    <w:p w:rsidR="006B49D3" w:rsidRDefault="006B49D3" w:rsidP="006B49D3">
      <w:pPr>
        <w:pStyle w:val="a5"/>
        <w:rPr>
          <w:color w:val="000000"/>
          <w:sz w:val="16"/>
          <w:szCs w:val="16"/>
        </w:rPr>
      </w:pPr>
      <w:r>
        <w:rPr>
          <w:color w:val="000000"/>
          <w:sz w:val="16"/>
          <w:szCs w:val="16"/>
        </w:rPr>
        <w:t>ГАРАНТ:</w:t>
      </w:r>
    </w:p>
    <w:p w:rsidR="006B49D3" w:rsidRDefault="006B49D3" w:rsidP="006B49D3">
      <w:pPr>
        <w:pStyle w:val="a5"/>
      </w:pPr>
      <w:r>
        <w:t>Конвенция вступила в силу 15 февраля 1999 г.</w:t>
      </w:r>
    </w:p>
    <w:p w:rsidR="006B49D3" w:rsidRDefault="006B49D3" w:rsidP="006B49D3">
      <w:pPr>
        <w:pStyle w:val="a5"/>
      </w:pPr>
      <w:r>
        <w:t xml:space="preserve">Российская Федерация присоединилась к настоящей Конвенции </w:t>
      </w:r>
      <w:hyperlink r:id="rId6" w:history="1">
        <w:r>
          <w:rPr>
            <w:rStyle w:val="a4"/>
          </w:rPr>
          <w:t>Федеральным законом</w:t>
        </w:r>
      </w:hyperlink>
      <w:r>
        <w:t xml:space="preserve"> от 1 февраля 2012 г. N 3-ФЗ</w:t>
      </w:r>
    </w:p>
    <w:p w:rsidR="006B49D3" w:rsidRDefault="006B49D3" w:rsidP="006B49D3">
      <w:pPr>
        <w:pStyle w:val="a5"/>
      </w:pPr>
      <w:r>
        <w:t>Конвенция вступила в силу для Российской Федерации 17 апреля 2012 г.</w:t>
      </w:r>
    </w:p>
    <w:p w:rsidR="006B49D3" w:rsidRDefault="006B49D3" w:rsidP="006B49D3">
      <w:bookmarkStart w:id="46" w:name="sub_152"/>
      <w:r>
        <w:t xml:space="preserve">2. Если Конвенция не вступит в силу согласно </w:t>
      </w:r>
      <w:hyperlink w:anchor="sub_151" w:history="1">
        <w:r>
          <w:rPr>
            <w:rStyle w:val="a4"/>
          </w:rPr>
          <w:t>п. 1</w:t>
        </w:r>
      </w:hyperlink>
      <w:r>
        <w:t xml:space="preserve">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t>с даты депонирования</w:t>
      </w:r>
      <w:proofErr w:type="gramEnd"/>
      <w: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bookmarkEnd w:id="46"/>
    <w:p w:rsidR="006B49D3" w:rsidRDefault="006B49D3" w:rsidP="006B49D3"/>
    <w:p w:rsidR="006B49D3" w:rsidRDefault="006B49D3" w:rsidP="006B49D3">
      <w:pPr>
        <w:pStyle w:val="1"/>
      </w:pPr>
      <w:bookmarkStart w:id="47" w:name="sub_16"/>
      <w:r>
        <w:t>Статья 16</w:t>
      </w:r>
      <w:r>
        <w:br/>
      </w:r>
      <w:r>
        <w:lastRenderedPageBreak/>
        <w:t>Поправки</w:t>
      </w:r>
    </w:p>
    <w:bookmarkEnd w:id="47"/>
    <w:p w:rsidR="006B49D3" w:rsidRDefault="006B49D3" w:rsidP="006B49D3"/>
    <w:p w:rsidR="006B49D3" w:rsidRDefault="006B49D3" w:rsidP="006B49D3">
      <w: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t>позднее</w:t>
      </w:r>
      <w:proofErr w:type="gramEnd"/>
      <w: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6B49D3" w:rsidRDefault="006B49D3" w:rsidP="006B49D3"/>
    <w:p w:rsidR="006B49D3" w:rsidRDefault="006B49D3" w:rsidP="006B49D3">
      <w:pPr>
        <w:pStyle w:val="1"/>
      </w:pPr>
      <w:bookmarkStart w:id="48" w:name="sub_17"/>
      <w:r>
        <w:t>Статья 17</w:t>
      </w:r>
      <w:r>
        <w:br/>
        <w:t>Выход из Конвенции</w:t>
      </w:r>
    </w:p>
    <w:bookmarkEnd w:id="48"/>
    <w:p w:rsidR="006B49D3" w:rsidRDefault="006B49D3" w:rsidP="006B49D3"/>
    <w:p w:rsidR="006B49D3" w:rsidRDefault="006B49D3" w:rsidP="006B49D3">
      <w: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6B49D3" w:rsidRDefault="006B49D3" w:rsidP="006B49D3"/>
    <w:p w:rsidR="006B49D3" w:rsidRDefault="006B49D3" w:rsidP="006B49D3">
      <w:pPr>
        <w:ind w:firstLine="698"/>
        <w:jc w:val="right"/>
      </w:pPr>
      <w:bookmarkStart w:id="49" w:name="sub_1000"/>
      <w:r>
        <w:rPr>
          <w:rStyle w:val="a3"/>
          <w:bCs/>
        </w:rPr>
        <w:t>Приложение</w:t>
      </w:r>
    </w:p>
    <w:bookmarkEnd w:id="49"/>
    <w:p w:rsidR="006B49D3" w:rsidRDefault="006B49D3" w:rsidP="006B49D3"/>
    <w:p w:rsidR="006B49D3" w:rsidRDefault="006B49D3" w:rsidP="006B49D3">
      <w:pPr>
        <w:pStyle w:val="1"/>
      </w:pPr>
      <w:r>
        <w:t>Статистические данные об объеме экспорта стран - членов ОЭСР</w:t>
      </w:r>
    </w:p>
    <w:p w:rsidR="006B49D3" w:rsidRDefault="006B49D3" w:rsidP="006B49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7"/>
        <w:gridCol w:w="1870"/>
        <w:gridCol w:w="2750"/>
        <w:gridCol w:w="3522"/>
      </w:tblGrid>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1990 - 1996 гг.</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млн. долл. США</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w:t>
            </w:r>
          </w:p>
          <w:p w:rsidR="006B49D3" w:rsidRDefault="006B49D3" w:rsidP="006E556E">
            <w:pPr>
              <w:pStyle w:val="a6"/>
              <w:jc w:val="center"/>
            </w:pPr>
            <w:r>
              <w:t>от суммарного объема экспорта ОЭСР</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w:t>
            </w:r>
          </w:p>
          <w:p w:rsidR="006B49D3" w:rsidRDefault="006B49D3" w:rsidP="006E556E">
            <w:pPr>
              <w:pStyle w:val="a6"/>
              <w:jc w:val="center"/>
            </w:pPr>
            <w:r>
              <w:t>от объема экспорта 10 крупнейших экспортеров из числа стран-членов ОЭСР</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США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287 118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15,9%</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19,7%</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Германия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254 746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14,1%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17,5%</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Япония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212 665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11,8%</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14,6%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Франция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138 471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9,5%</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Великобритания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121 258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8,3%</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Италия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112 449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6,2%</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7,7%</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Канада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91 215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5,1%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6,3%</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Корея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81 364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Нидерланды</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81 264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Бельгия и Люксембург</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78 598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4,4%</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5,4%</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Итого для 10 крупнейших стран-экспортеров</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1 459 148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81,0%</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100%</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Испания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42 469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Швейцария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40 395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lastRenderedPageBreak/>
              <w:t>Швеция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36 710</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Мексика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34 233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27 194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Дания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24 145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22 432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Норвегия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21 666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Ирландия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19 217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Финляндия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17 296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Польша </w:t>
            </w:r>
            <w:hyperlink w:anchor="sub_101010" w:history="1">
              <w:r>
                <w:rPr>
                  <w:rStyle w:val="a4"/>
                </w:rPr>
                <w:t>(1)</w:t>
              </w:r>
            </w:hyperlink>
            <w:r>
              <w:t xml:space="preserve"> </w:t>
            </w:r>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12 652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0,7%</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Португалия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10 801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0,6%</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Турция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8 027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Венгрия</w:t>
            </w:r>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6 795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Новая Зеландия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6 663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Чешская Республика</w:t>
            </w:r>
            <w:hyperlink w:anchor="sub_10333"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6 263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Греция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4 606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Исландия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Всего по ОЭСР</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1 801 661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bl>
    <w:p w:rsidR="006B49D3" w:rsidRDefault="006B49D3" w:rsidP="006B49D3"/>
    <w:p w:rsidR="006B49D3" w:rsidRDefault="006B49D3" w:rsidP="006B49D3">
      <w:r>
        <w:rPr>
          <w:rStyle w:val="a3"/>
          <w:bCs/>
        </w:rPr>
        <w:t>Примечания:</w:t>
      </w:r>
    </w:p>
    <w:p w:rsidR="006B49D3" w:rsidRDefault="006B49D3" w:rsidP="006B49D3">
      <w:bookmarkStart w:id="50" w:name="sub_10111"/>
      <w:r>
        <w:t>* 1990-1995 гг.;</w:t>
      </w:r>
    </w:p>
    <w:p w:rsidR="006B49D3" w:rsidRDefault="006B49D3" w:rsidP="006B49D3">
      <w:bookmarkStart w:id="51" w:name="sub_10222"/>
      <w:bookmarkEnd w:id="50"/>
      <w:r>
        <w:t>** 1991-1996 гг.;</w:t>
      </w:r>
    </w:p>
    <w:p w:rsidR="006B49D3" w:rsidRDefault="006B49D3" w:rsidP="006B49D3">
      <w:bookmarkStart w:id="52" w:name="sub_10333"/>
      <w:bookmarkEnd w:id="51"/>
      <w:r>
        <w:t>*** 1993-1996 гг.</w:t>
      </w:r>
    </w:p>
    <w:p w:rsidR="006B49D3" w:rsidRDefault="006B49D3" w:rsidP="006B49D3">
      <w:bookmarkStart w:id="53" w:name="sub_101010"/>
      <w:bookmarkEnd w:id="52"/>
      <w:r>
        <w:rPr>
          <w:rStyle w:val="a3"/>
          <w:bCs/>
        </w:rPr>
        <w:t>Источник:</w:t>
      </w:r>
      <w:r>
        <w:t xml:space="preserve"> ОЭСР, (1) МВФ</w:t>
      </w:r>
    </w:p>
    <w:bookmarkEnd w:id="53"/>
    <w:p w:rsidR="006B49D3" w:rsidRDefault="006B49D3" w:rsidP="006B49D3"/>
    <w:p w:rsidR="006B49D3" w:rsidRDefault="006B49D3" w:rsidP="006B49D3">
      <w:r>
        <w:rPr>
          <w:rStyle w:val="a3"/>
          <w:bCs/>
        </w:rPr>
        <w:t>В отношении Бельгии и Люксембурга:</w:t>
      </w:r>
      <w:r>
        <w:t xml:space="preserve"> статистические данные о торговле Бельгии и Люксембурга существуют только для этих двух стран, взятых вместе. </w:t>
      </w:r>
      <w:proofErr w:type="gramStart"/>
      <w:r>
        <w:t>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 - экспортеров ОЭСР передала вышеупомянутый документ депозитарию, и общий объем экспорта этих двух</w:t>
      </w:r>
      <w:proofErr w:type="gramEnd"/>
      <w:r>
        <w:t xml:space="preserve"> стран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6B49D3" w:rsidRDefault="006B49D3" w:rsidP="006B49D3"/>
    <w:p w:rsidR="00F72F1B" w:rsidRDefault="00F72F1B"/>
    <w:sectPr w:rsidR="00F72F1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EF"/>
    <w:rsid w:val="000172EF"/>
    <w:rsid w:val="006B49D3"/>
    <w:rsid w:val="00CC1C22"/>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033868.0" TargetMode="External"/><Relationship Id="rId5" Type="http://schemas.openxmlformats.org/officeDocument/2006/relationships/hyperlink" Target="garantF1://7003799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Gryada Elena Mihaylovna</cp:lastModifiedBy>
  <cp:revision>2</cp:revision>
  <dcterms:created xsi:type="dcterms:W3CDTF">2019-08-27T07:53:00Z</dcterms:created>
  <dcterms:modified xsi:type="dcterms:W3CDTF">2019-08-27T07:53:00Z</dcterms:modified>
</cp:coreProperties>
</file>