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ред. Постановлений администрации муниципального образования Темрюкский район от 19.10.2017 №1714, от </w:t>
      </w:r>
      <w:r w:rsidR="00D2397E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="00D2397E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.201</w:t>
      </w:r>
      <w:r w:rsidR="00D2397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</w:t>
      </w:r>
      <w:r w:rsidR="00D2397E">
        <w:rPr>
          <w:bCs/>
          <w:sz w:val="28"/>
          <w:szCs w:val="28"/>
        </w:rPr>
        <w:t>587</w:t>
      </w:r>
      <w:r>
        <w:rPr>
          <w:bCs/>
          <w:sz w:val="28"/>
          <w:szCs w:val="28"/>
        </w:rPr>
        <w:t>)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D2397E">
              <w:rPr>
                <w:bCs/>
                <w:sz w:val="28"/>
                <w:szCs w:val="28"/>
                <w:lang w:eastAsia="en-US"/>
              </w:rPr>
              <w:t>53867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10142,1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1854E3">
              <w:rPr>
                <w:bCs/>
                <w:sz w:val="28"/>
                <w:szCs w:val="28"/>
                <w:lang w:eastAsia="en-US"/>
              </w:rPr>
              <w:t>8</w:t>
            </w:r>
            <w:r w:rsidR="00D2397E">
              <w:rPr>
                <w:bCs/>
                <w:sz w:val="28"/>
                <w:szCs w:val="28"/>
                <w:lang w:eastAsia="en-US"/>
              </w:rPr>
              <w:t>787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5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 w:rsidR="001854E3">
              <w:rPr>
                <w:bCs/>
                <w:sz w:val="28"/>
                <w:szCs w:val="28"/>
                <w:lang w:eastAsia="en-US"/>
              </w:rPr>
              <w:t>31345,6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6454,4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 xml:space="preserve">8 год – </w:t>
            </w:r>
            <w:r w:rsidR="00D2397E">
              <w:rPr>
                <w:bCs/>
                <w:sz w:val="28"/>
                <w:szCs w:val="28"/>
                <w:lang w:eastAsia="en-US"/>
              </w:rPr>
              <w:t>5065,3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</w:t>
            </w:r>
            <w:r w:rsidR="00D2397E">
              <w:rPr>
                <w:bCs/>
                <w:sz w:val="28"/>
                <w:szCs w:val="28"/>
                <w:lang w:eastAsia="en-US"/>
              </w:rPr>
              <w:t>22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48</w:t>
            </w:r>
            <w:r w:rsidR="00D2397E">
              <w:rPr>
                <w:bCs/>
                <w:sz w:val="28"/>
                <w:szCs w:val="28"/>
                <w:lang w:eastAsia="en-US"/>
              </w:rPr>
              <w:t>310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8780,2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D2397E">
              <w:rPr>
                <w:bCs/>
                <w:sz w:val="28"/>
                <w:szCs w:val="28"/>
                <w:lang w:eastAsia="en-US"/>
              </w:rPr>
              <w:t>8774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0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25788,6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D2397E">
              <w:rPr>
                <w:bCs/>
                <w:sz w:val="28"/>
                <w:szCs w:val="28"/>
                <w:lang w:eastAsia="en-US"/>
              </w:rPr>
              <w:t>5051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</w:t>
            </w:r>
            <w:r w:rsidR="00D2397E">
              <w:rPr>
                <w:bCs/>
                <w:sz w:val="28"/>
                <w:szCs w:val="28"/>
                <w:lang w:eastAsia="en-US"/>
              </w:rPr>
              <w:t>22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</w:t>
            </w:r>
            <w:r w:rsidR="00D2397E">
              <w:rPr>
                <w:bCs/>
                <w:sz w:val="28"/>
                <w:szCs w:val="28"/>
                <w:lang w:eastAsia="en-US"/>
              </w:rPr>
              <w:t>57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D2397E">
              <w:rPr>
                <w:bCs/>
                <w:sz w:val="28"/>
                <w:szCs w:val="28"/>
                <w:lang w:eastAsia="en-US"/>
              </w:rPr>
              <w:t>0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1361,9</w:t>
            </w:r>
            <w:r w:rsidR="005C128C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C128C" w:rsidRPr="00700ECD" w:rsidRDefault="005C128C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«Содержание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№ 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FC2" w:rsidRPr="00E604DE" w:rsidRDefault="00C34FC2" w:rsidP="00C34FC2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8774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3722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5051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</w:t>
            </w:r>
            <w:r w:rsidR="00D2397E">
              <w:rPr>
                <w:rFonts w:ascii="Times New Roman" w:hAnsi="Times New Roman" w:cs="Times New Roman"/>
                <w:lang w:eastAsia="en-US"/>
              </w:rPr>
              <w:t>310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D2397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22398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</w:t>
            </w:r>
            <w:r w:rsidR="00D2397E">
              <w:rPr>
                <w:rFonts w:ascii="Times New Roman" w:hAnsi="Times New Roman" w:cs="Times New Roman"/>
                <w:lang w:eastAsia="en-US"/>
              </w:rPr>
              <w:t>912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D2397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10142,1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6454,4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8787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</w:t>
            </w:r>
            <w:r w:rsidR="00D2397E">
              <w:rPr>
                <w:rFonts w:ascii="Times New Roman" w:hAnsi="Times New Roman" w:cs="Times New Roman"/>
                <w:lang w:eastAsia="en-US"/>
              </w:rPr>
              <w:t>22,2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5065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53867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D2397E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22398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D2397E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31</w:t>
            </w:r>
            <w:r w:rsidR="00D2397E">
              <w:rPr>
                <w:rFonts w:ascii="Times New Roman" w:hAnsi="Times New Roman" w:cs="Times New Roman"/>
                <w:lang w:eastAsia="en-US"/>
              </w:rPr>
              <w:t>469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D2397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0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0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9"/>
      <w:bookmarkEnd w:id="1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3" w:name="sub_4100"/>
      <w:bookmarkEnd w:id="2"/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3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432" w:rsidTr="000B2667">
        <w:trPr>
          <w:gridAfter w:val="1"/>
          <w:wAfter w:w="107" w:type="dxa"/>
        </w:trPr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 w:rsidR="00D34280">
              <w:rPr>
                <w:bCs/>
                <w:sz w:val="28"/>
                <w:szCs w:val="28"/>
                <w:lang w:eastAsia="en-US"/>
              </w:rPr>
              <w:t>48310</w:t>
            </w:r>
            <w:r w:rsidRPr="00E604DE">
              <w:rPr>
                <w:bCs/>
                <w:sz w:val="28"/>
                <w:szCs w:val="28"/>
                <w:lang w:eastAsia="en-US"/>
              </w:rPr>
              <w:t>,</w:t>
            </w:r>
            <w:r w:rsidR="00D34280">
              <w:rPr>
                <w:bCs/>
                <w:sz w:val="28"/>
                <w:szCs w:val="28"/>
                <w:lang w:eastAsia="en-US"/>
              </w:rPr>
              <w:t>4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8780,2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D34280">
              <w:rPr>
                <w:bCs/>
                <w:sz w:val="28"/>
                <w:szCs w:val="28"/>
                <w:lang w:eastAsia="en-US"/>
              </w:rPr>
              <w:t>8787</w:t>
            </w:r>
            <w:r w:rsidRPr="00E604DE">
              <w:rPr>
                <w:bCs/>
                <w:sz w:val="28"/>
                <w:szCs w:val="28"/>
                <w:lang w:eastAsia="en-US"/>
              </w:rPr>
              <w:t>,</w:t>
            </w:r>
            <w:r w:rsidR="00D34280">
              <w:rPr>
                <w:bCs/>
                <w:sz w:val="28"/>
                <w:szCs w:val="28"/>
                <w:lang w:eastAsia="en-US"/>
              </w:rPr>
              <w:t>0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</w:t>
            </w:r>
            <w:r w:rsidR="00D34280">
              <w:rPr>
                <w:bCs/>
                <w:sz w:val="28"/>
                <w:szCs w:val="28"/>
                <w:lang w:eastAsia="en-US"/>
              </w:rPr>
              <w:t>25912</w:t>
            </w:r>
            <w:r w:rsidRPr="00E604DE">
              <w:rPr>
                <w:bCs/>
                <w:sz w:val="28"/>
                <w:szCs w:val="28"/>
                <w:lang w:eastAsia="en-US"/>
              </w:rPr>
              <w:t>,</w:t>
            </w:r>
            <w:r w:rsidR="00D34280">
              <w:rPr>
                <w:bCs/>
                <w:sz w:val="28"/>
                <w:szCs w:val="28"/>
                <w:lang w:eastAsia="en-US"/>
              </w:rPr>
              <w:t>3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D34280">
              <w:rPr>
                <w:bCs/>
                <w:sz w:val="28"/>
                <w:szCs w:val="28"/>
                <w:lang w:eastAsia="en-US"/>
              </w:rPr>
              <w:t>5051</w:t>
            </w:r>
            <w:r w:rsidRPr="00E604DE">
              <w:rPr>
                <w:bCs/>
                <w:sz w:val="28"/>
                <w:szCs w:val="28"/>
                <w:lang w:eastAsia="en-US"/>
              </w:rPr>
              <w:t>,</w:t>
            </w:r>
            <w:r w:rsidR="00D34280">
              <w:rPr>
                <w:bCs/>
                <w:sz w:val="28"/>
                <w:szCs w:val="28"/>
                <w:lang w:eastAsia="en-US"/>
              </w:rPr>
              <w:t>8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 w:rsidR="00D34280">
              <w:rPr>
                <w:bCs/>
                <w:sz w:val="28"/>
                <w:szCs w:val="28"/>
                <w:lang w:eastAsia="en-US"/>
              </w:rPr>
              <w:t>22398</w:t>
            </w:r>
            <w:r w:rsidRPr="00E604DE">
              <w:rPr>
                <w:bCs/>
                <w:sz w:val="28"/>
                <w:szCs w:val="28"/>
                <w:lang w:eastAsia="en-US"/>
              </w:rPr>
              <w:t>,</w:t>
            </w:r>
            <w:r w:rsidR="00D34280">
              <w:rPr>
                <w:bCs/>
                <w:sz w:val="28"/>
                <w:szCs w:val="28"/>
                <w:lang w:eastAsia="en-US"/>
              </w:rPr>
              <w:t>1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3687,7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37</w:t>
            </w:r>
            <w:r w:rsidR="00D34280">
              <w:rPr>
                <w:bCs/>
                <w:sz w:val="28"/>
                <w:szCs w:val="28"/>
                <w:lang w:eastAsia="en-US"/>
              </w:rPr>
              <w:t>22,2</w:t>
            </w:r>
            <w:r w:rsidRPr="00E604DE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BD7432" w:rsidRPr="006C583D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3717,7 тыс. рублей»;</w:t>
            </w: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№ 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C34FC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BD7432" w:rsidRPr="00F405BC" w:rsidTr="00BD7432">
        <w:trPr>
          <w:trHeight w:val="8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7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35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211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606E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BD7432" w:rsidRPr="00F405BC" w:rsidTr="00BD7432">
        <w:trPr>
          <w:trHeight w:val="44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6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96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2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808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71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C34FC2" w:rsidRPr="00F405BC" w:rsidTr="00BD7432">
        <w:trPr>
          <w:trHeight w:val="1704"/>
        </w:trPr>
        <w:tc>
          <w:tcPr>
            <w:tcW w:w="993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C34FC2" w:rsidRPr="005C2C6D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34" w:type="dxa"/>
          </w:tcPr>
          <w:p w:rsidR="00C34FC2" w:rsidRPr="009A40C1" w:rsidRDefault="00C34FC2" w:rsidP="00C34FC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63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BD7432" w:rsidRPr="0027251E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BD7432" w:rsidRPr="00F405BC" w:rsidTr="00BD7432">
        <w:trPr>
          <w:trHeight w:val="53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1848A6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340</w:t>
            </w:r>
            <w:r w:rsidR="00BD7432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340</w:t>
            </w:r>
            <w:r w:rsidR="00BD7432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1218</w:t>
            </w:r>
            <w:r w:rsidR="00BD7432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618A7">
              <w:rPr>
                <w:bCs/>
                <w:sz w:val="20"/>
                <w:szCs w:val="20"/>
                <w:lang w:eastAsia="en-US"/>
              </w:rPr>
              <w:t>218,9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97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BD7432" w:rsidRPr="00F405BC" w:rsidTr="00BD7432">
        <w:trPr>
          <w:trHeight w:val="47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6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7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330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330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8780,2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8787</w:t>
            </w:r>
            <w:r w:rsidR="00C34FC2" w:rsidRPr="00E604DE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37</w:t>
            </w:r>
            <w:r w:rsidR="00A618A7">
              <w:rPr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134" w:type="dxa"/>
          </w:tcPr>
          <w:p w:rsidR="00C34FC2" w:rsidRPr="00E604DE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5051</w:t>
            </w:r>
            <w:r w:rsidR="00C34FC2" w:rsidRPr="00E604DE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34FC2" w:rsidRPr="00E604DE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48310</w:t>
            </w:r>
            <w:r w:rsidR="00C34FC2" w:rsidRPr="00E604DE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A618A7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22398,1</w:t>
            </w:r>
          </w:p>
        </w:tc>
        <w:tc>
          <w:tcPr>
            <w:tcW w:w="1134" w:type="dxa"/>
          </w:tcPr>
          <w:p w:rsidR="00C34FC2" w:rsidRPr="00E604DE" w:rsidRDefault="00A618A7" w:rsidP="00A61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25912</w:t>
            </w:r>
            <w:r w:rsidR="00C34FC2" w:rsidRPr="00E604DE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34FC2" w:rsidRPr="00FE58C1" w:rsidRDefault="00C34FC2" w:rsidP="00C34FC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A5715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8787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</w:t>
            </w:r>
            <w:r w:rsidR="00A57152">
              <w:rPr>
                <w:rFonts w:ascii="Times New Roman" w:hAnsi="Times New Roman" w:cs="Times New Roman"/>
                <w:lang w:eastAsia="en-US"/>
              </w:rPr>
              <w:t>22,2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A5715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5051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</w:t>
            </w:r>
            <w:r w:rsidR="00A57152">
              <w:rPr>
                <w:rFonts w:ascii="Times New Roman" w:hAnsi="Times New Roman" w:cs="Times New Roman"/>
                <w:lang w:eastAsia="en-US"/>
              </w:rPr>
              <w:t>310,4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</w:t>
            </w:r>
            <w:r w:rsidR="00A57152">
              <w:rPr>
                <w:rFonts w:ascii="Times New Roman" w:hAnsi="Times New Roman" w:cs="Times New Roman"/>
                <w:lang w:eastAsia="en-US"/>
              </w:rPr>
              <w:t>98,1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A5715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</w:t>
            </w:r>
            <w:r w:rsidR="00A57152">
              <w:rPr>
                <w:rFonts w:ascii="Times New Roman" w:hAnsi="Times New Roman" w:cs="Times New Roman"/>
                <w:lang w:eastAsia="en-US"/>
              </w:rPr>
              <w:t>912,3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532886">
              <w:rPr>
                <w:sz w:val="28"/>
                <w:szCs w:val="28"/>
              </w:rPr>
              <w:t>8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</w:t>
            </w:r>
            <w:r w:rsidR="00532886">
              <w:rPr>
                <w:bCs/>
                <w:sz w:val="28"/>
                <w:szCs w:val="28"/>
                <w:lang w:eastAsia="en-US"/>
              </w:rPr>
              <w:t>57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532886">
              <w:rPr>
                <w:bCs/>
                <w:sz w:val="28"/>
                <w:szCs w:val="28"/>
                <w:lang w:eastAsia="en-US"/>
              </w:rPr>
              <w:t>0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1361,9 тыс. рублей</w:t>
            </w:r>
            <w:r w:rsidR="00C34FC2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</w:t>
            </w:r>
            <w:r w:rsidR="00BD7432">
              <w:rPr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850"/>
        <w:gridCol w:w="130"/>
        <w:gridCol w:w="720"/>
        <w:gridCol w:w="851"/>
        <w:gridCol w:w="992"/>
        <w:gridCol w:w="13"/>
        <w:gridCol w:w="979"/>
      </w:tblGrid>
      <w:tr w:rsidR="00A517D7" w:rsidRPr="002649FE" w:rsidTr="009602FD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555" w:type="dxa"/>
            <w:gridSpan w:val="5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9602FD" w:rsidRPr="002649FE" w:rsidTr="009602FD">
        <w:tc>
          <w:tcPr>
            <w:tcW w:w="702" w:type="dxa"/>
            <w:vMerge/>
            <w:shd w:val="clear" w:color="auto" w:fill="auto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005" w:type="dxa"/>
            <w:gridSpan w:val="2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  <w:tc>
          <w:tcPr>
            <w:tcW w:w="979" w:type="dxa"/>
          </w:tcPr>
          <w:p w:rsidR="009602FD" w:rsidRPr="007F3BB5" w:rsidRDefault="009602FD" w:rsidP="009602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год</w:t>
            </w:r>
          </w:p>
        </w:tc>
      </w:tr>
      <w:tr w:rsidR="009602FD" w:rsidRPr="002649FE" w:rsidTr="009602FD">
        <w:tc>
          <w:tcPr>
            <w:tcW w:w="702" w:type="dxa"/>
            <w:shd w:val="clear" w:color="auto" w:fill="auto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9602FD" w:rsidRPr="00CE41FF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005" w:type="dxa"/>
            <w:gridSpan w:val="2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79" w:type="dxa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602FD" w:rsidRPr="000E07B4" w:rsidTr="001A09E4">
        <w:tc>
          <w:tcPr>
            <w:tcW w:w="702" w:type="dxa"/>
            <w:shd w:val="clear" w:color="auto" w:fill="auto"/>
          </w:tcPr>
          <w:p w:rsidR="009602FD" w:rsidRPr="007F3BB5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079" w:type="dxa"/>
            <w:gridSpan w:val="9"/>
          </w:tcPr>
          <w:p w:rsidR="009602FD" w:rsidRPr="00A15DEB" w:rsidRDefault="009602FD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FC52CF" w:rsidRPr="002649FE" w:rsidTr="00C16AD5">
        <w:trPr>
          <w:trHeight w:val="791"/>
        </w:trPr>
        <w:tc>
          <w:tcPr>
            <w:tcW w:w="702" w:type="dxa"/>
            <w:shd w:val="clear" w:color="auto" w:fill="auto"/>
          </w:tcPr>
          <w:p w:rsidR="00FC52CF" w:rsidRPr="007F3BB5" w:rsidRDefault="00FC52CF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FC52CF" w:rsidRPr="00CE41FF" w:rsidRDefault="00FC52CF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FC52CF" w:rsidRPr="00CE41FF" w:rsidRDefault="00FC52CF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FC52CF" w:rsidRPr="00CE41FF" w:rsidRDefault="00FC52CF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850" w:type="dxa"/>
            <w:shd w:val="clear" w:color="auto" w:fill="auto"/>
          </w:tcPr>
          <w:p w:rsidR="00FC52CF" w:rsidRPr="00CE41FF" w:rsidRDefault="00FC52CF" w:rsidP="00FC52CF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FC52CF" w:rsidRPr="00CE41FF" w:rsidRDefault="00FC52CF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</w:tcPr>
          <w:p w:rsidR="00FC52CF" w:rsidRPr="007F3BB5" w:rsidRDefault="00FC52CF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92" w:type="dxa"/>
          </w:tcPr>
          <w:p w:rsidR="00FC52CF" w:rsidRDefault="00FC52CF" w:rsidP="00FC52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FC52CF" w:rsidRDefault="00FC52CF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336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BD7432" w:rsidRPr="00F405BC" w:rsidTr="00BD7432">
        <w:trPr>
          <w:trHeight w:val="34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30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7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86"/>
        </w:trPr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B164C6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BD7432" w:rsidRPr="00F405BC" w:rsidTr="00BD7432"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BD7432" w:rsidRPr="00F405BC" w:rsidTr="00BD7432">
        <w:trPr>
          <w:trHeight w:val="420"/>
        </w:trPr>
        <w:tc>
          <w:tcPr>
            <w:tcW w:w="709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5506DF">
        <w:trPr>
          <w:trHeight w:val="1120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4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расходов, 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44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71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6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332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1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19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20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78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178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18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B32E03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780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559" w:type="dxa"/>
          </w:tcPr>
          <w:p w:rsidR="00C34FC2" w:rsidRDefault="00C34FC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229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29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7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CE41FF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4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A94A6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559" w:type="dxa"/>
          </w:tcPr>
          <w:p w:rsidR="00C34FC2" w:rsidRPr="00F405BC" w:rsidRDefault="00C34FC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«Организация оздоровления детей в рамках выполнения муниципального задания МАУ ДОЛ «Бригантина»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</w:t>
      </w:r>
      <w:bookmarkStart w:id="4" w:name="_GoBack"/>
      <w:bookmarkEnd w:id="4"/>
      <w:r w:rsidRPr="00BA65F3">
        <w:rPr>
          <w:b/>
          <w:bCs/>
          <w:sz w:val="28"/>
          <w:szCs w:val="28"/>
        </w:rPr>
        <w:t>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D2397E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6F" w:rsidRDefault="00E2796F">
      <w:r>
        <w:separator/>
      </w:r>
    </w:p>
  </w:endnote>
  <w:endnote w:type="continuationSeparator" w:id="0">
    <w:p w:rsidR="00E2796F" w:rsidRDefault="00E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6F" w:rsidRDefault="00E2796F">
      <w:r>
        <w:separator/>
      </w:r>
    </w:p>
  </w:footnote>
  <w:footnote w:type="continuationSeparator" w:id="0">
    <w:p w:rsidR="00E2796F" w:rsidRDefault="00E2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D2397E" w:rsidRDefault="00D23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2397E" w:rsidRDefault="00D239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D2397E" w:rsidRDefault="00D23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F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2397E" w:rsidRDefault="00D239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E" w:rsidRDefault="00D2397E">
    <w:pPr>
      <w:pStyle w:val="a7"/>
      <w:jc w:val="center"/>
    </w:pPr>
  </w:p>
  <w:p w:rsidR="00D2397E" w:rsidRDefault="00D2397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D2397E" w:rsidRDefault="00D23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2397E" w:rsidRDefault="00D23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B2667"/>
    <w:rsid w:val="000F0A0E"/>
    <w:rsid w:val="001854E3"/>
    <w:rsid w:val="001B1DF4"/>
    <w:rsid w:val="00373B1A"/>
    <w:rsid w:val="00391B81"/>
    <w:rsid w:val="003B30EF"/>
    <w:rsid w:val="00532886"/>
    <w:rsid w:val="005506DF"/>
    <w:rsid w:val="005C128C"/>
    <w:rsid w:val="005F2F28"/>
    <w:rsid w:val="007D5360"/>
    <w:rsid w:val="00872EC5"/>
    <w:rsid w:val="009602FD"/>
    <w:rsid w:val="00A517D7"/>
    <w:rsid w:val="00A5596E"/>
    <w:rsid w:val="00A57152"/>
    <w:rsid w:val="00A618A7"/>
    <w:rsid w:val="00B347F7"/>
    <w:rsid w:val="00BB122B"/>
    <w:rsid w:val="00BB4ADB"/>
    <w:rsid w:val="00BD7432"/>
    <w:rsid w:val="00C16AD5"/>
    <w:rsid w:val="00C34FC2"/>
    <w:rsid w:val="00D2397E"/>
    <w:rsid w:val="00D34280"/>
    <w:rsid w:val="00E10DD6"/>
    <w:rsid w:val="00E2796F"/>
    <w:rsid w:val="00EF5887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opeka</cp:lastModifiedBy>
  <cp:revision>13</cp:revision>
  <dcterms:created xsi:type="dcterms:W3CDTF">2018-12-06T04:50:00Z</dcterms:created>
  <dcterms:modified xsi:type="dcterms:W3CDTF">2018-12-06T05:16:00Z</dcterms:modified>
</cp:coreProperties>
</file>