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 от </w:t>
      </w:r>
      <w:r>
        <w:rPr>
          <w:rFonts w:ascii="Times New Roman" w:hAnsi="Times New Roman"/>
          <w:bCs/>
          <w:sz w:val="28"/>
          <w:szCs w:val="28"/>
        </w:rPr>
        <w:t>25 января 2018 года № 50)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- 7191835,3 тысяч рублей, в том числе по годам:</w:t>
            </w:r>
          </w:p>
          <w:p w:rsidR="00B447AE" w:rsidRPr="00B447AE" w:rsidRDefault="00B447AE" w:rsidP="00B447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B447AE" w:rsidRPr="00B447AE" w:rsidRDefault="00B447AE" w:rsidP="00B447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B447AE" w:rsidRPr="00B447AE" w:rsidRDefault="00B447AE" w:rsidP="00B447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2018 год - 1462898,2 тысяч рублей;</w:t>
            </w:r>
          </w:p>
          <w:p w:rsidR="00B447AE" w:rsidRPr="00B447AE" w:rsidRDefault="00B447AE" w:rsidP="00B447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B447AE">
              <w:rPr>
                <w:bCs/>
                <w:sz w:val="28"/>
                <w:szCs w:val="28"/>
              </w:rPr>
              <w:t>9  тысяч</w:t>
            </w:r>
            <w:proofErr w:type="gramEnd"/>
            <w:r w:rsidRPr="00B447AE">
              <w:rPr>
                <w:bCs/>
                <w:sz w:val="28"/>
                <w:szCs w:val="28"/>
              </w:rPr>
              <w:t xml:space="preserve"> рублей;</w:t>
            </w:r>
          </w:p>
          <w:p w:rsidR="00B447AE" w:rsidRPr="00B447AE" w:rsidRDefault="00B447AE" w:rsidP="00B447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из средств местного бюджета - 2699683,0 тысяч рублей, в том числе по годам: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2018 год - 626756,5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из средств краевого бюджета планируется привлечь 4486619,1 рублей, в том числе по годам: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2018 год - 836141,7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2020 год - 837196,8 тысяч рублей;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B447AE" w:rsidRPr="00B447AE" w:rsidRDefault="00B447AE" w:rsidP="00B447AE">
            <w:pPr>
              <w:pStyle w:val="WW-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2016 год - 4078,1 тысяч рублей;</w:t>
            </w:r>
          </w:p>
          <w:p w:rsidR="00C94961" w:rsidRPr="00F31D67" w:rsidRDefault="00B447AE" w:rsidP="00B447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447AE">
              <w:rPr>
                <w:bCs/>
                <w:sz w:val="28"/>
                <w:szCs w:val="28"/>
              </w:rPr>
              <w:t>2017 год - 1455,1 тысяч рублей.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</w:t>
      </w:r>
      <w:r w:rsidRPr="0099062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</w:t>
      </w:r>
      <w:r w:rsidRPr="00930B6D">
        <w:rPr>
          <w:rFonts w:ascii="Times New Roman" w:hAnsi="Times New Roman"/>
          <w:sz w:val="28"/>
          <w:szCs w:val="28"/>
        </w:rPr>
        <w:lastRenderedPageBreak/>
        <w:t xml:space="preserve">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Во всех образовательных учреждениях осуществляется электронная услуга (информирование родителей о результатах обучения учащихся) с </w:t>
      </w:r>
      <w:r w:rsidRPr="00FD37F0">
        <w:rPr>
          <w:rFonts w:ascii="Times New Roman" w:hAnsi="Times New Roman"/>
          <w:sz w:val="28"/>
          <w:szCs w:val="28"/>
        </w:rPr>
        <w:lastRenderedPageBreak/>
        <w:t>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lastRenderedPageBreak/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</w:t>
      </w:r>
      <w:r w:rsidR="00617C0C">
        <w:rPr>
          <w:rFonts w:ascii="Times New Roman" w:hAnsi="Times New Roman"/>
          <w:sz w:val="28"/>
          <w:szCs w:val="28"/>
        </w:rPr>
        <w:t xml:space="preserve">азования обеспечивает единство </w:t>
      </w:r>
      <w:r w:rsidRPr="003561F3">
        <w:rPr>
          <w:rFonts w:ascii="Times New Roman" w:hAnsi="Times New Roman"/>
          <w:sz w:val="28"/>
          <w:szCs w:val="28"/>
        </w:rPr>
        <w:t xml:space="preserve">целей и задач программы с созданием и использованием </w:t>
      </w:r>
      <w:r w:rsidRPr="003561F3">
        <w:rPr>
          <w:rFonts w:ascii="Times New Roman" w:hAnsi="Times New Roman"/>
          <w:sz w:val="28"/>
          <w:szCs w:val="28"/>
        </w:rPr>
        <w:lastRenderedPageBreak/>
        <w:t xml:space="preserve">финансовых и организационных механизмов ее реализации, а также контролем за промежуточными и конечными </w:t>
      </w:r>
      <w:proofErr w:type="gramStart"/>
      <w:r w:rsidRPr="003561F3">
        <w:rPr>
          <w:rFonts w:ascii="Times New Roman" w:hAnsi="Times New Roman"/>
          <w:sz w:val="28"/>
          <w:szCs w:val="28"/>
        </w:rPr>
        <w:t>результатами  муниципальной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lastRenderedPageBreak/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B447AE" w:rsidRPr="003541BB" w:rsidTr="00AE6C82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47AE" w:rsidRPr="003541BB" w:rsidTr="00AE6C82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7E7578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B447AE" w:rsidRPr="003541BB" w:rsidTr="00AE6C82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тысяч</w:t>
            </w:r>
          </w:p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447AE" w:rsidRPr="003541BB" w:rsidTr="00AE6C82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4954DB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447AE" w:rsidRPr="003541BB" w:rsidTr="00AE6C82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447AE" w:rsidRPr="003541BB" w:rsidTr="00AE6C82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 службами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447AE" w:rsidRPr="003541BB" w:rsidTr="00AE6C82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447AE" w:rsidRPr="003541BB" w:rsidTr="00AE6C82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447AE" w:rsidRPr="003541BB" w:rsidTr="00AE6C82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404"/>
        <w:gridCol w:w="570"/>
        <w:gridCol w:w="1137"/>
        <w:gridCol w:w="1421"/>
        <w:gridCol w:w="1137"/>
        <w:gridCol w:w="1562"/>
        <w:gridCol w:w="1421"/>
        <w:gridCol w:w="708"/>
        <w:gridCol w:w="1843"/>
        <w:gridCol w:w="1487"/>
      </w:tblGrid>
      <w:tr w:rsidR="008F0948" w:rsidRPr="0051185B" w:rsidTr="00AE6C82">
        <w:trPr>
          <w:tblHeader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49" w:type="dxa"/>
            <w:gridSpan w:val="5"/>
            <w:shd w:val="clear" w:color="auto" w:fill="auto"/>
            <w:vAlign w:val="center"/>
          </w:tcPr>
          <w:p w:rsidR="008F0948" w:rsidRPr="00FF7BA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</w:t>
            </w:r>
            <w:r w:rsidRPr="00FF7BA8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венный</w:t>
            </w:r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Заказчик,  гла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бюд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жетных средств,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8F0948" w:rsidRPr="0051185B" w:rsidTr="00AE6C82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0948" w:rsidRPr="0051185B" w:rsidTr="00AE6C82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</w:t>
            </w:r>
            <w:r w:rsidRPr="00BE6E6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73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F7BA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F0948" w:rsidRPr="0051185B" w:rsidTr="00AE6C82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8F0948" w:rsidRPr="0051185B" w:rsidTr="00AE6C82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8F0948" w:rsidRPr="0051185B" w:rsidTr="00AE6C82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Pr="0010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1363625,9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531584,2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1328395,4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1311271,6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6765413,8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4476829,6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2283051,0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титаров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</w:t>
            </w:r>
            <w:r>
              <w:rPr>
                <w:rFonts w:ascii="Times New Roman" w:hAnsi="Times New Roman"/>
                <w:sz w:val="20"/>
                <w:szCs w:val="20"/>
              </w:rPr>
              <w:t>чик –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/>
                <w:sz w:val="20"/>
                <w:szCs w:val="20"/>
              </w:rPr>
              <w:t>ия Темрюк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ский район (далее –АМОТР), глав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-ц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z w:val="20"/>
                <w:szCs w:val="20"/>
              </w:rPr>
              <w:t>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186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4661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за-висимой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оценки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чества знаний выпуск</w:t>
            </w:r>
            <w:r>
              <w:rPr>
                <w:rFonts w:ascii="Times New Roman" w:hAnsi="Times New Roman"/>
                <w:sz w:val="20"/>
                <w:szCs w:val="20"/>
              </w:rPr>
              <w:t>ников 9, 11(12) классов в соответствии с норм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ативными требованиями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97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1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61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9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495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96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066C0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уг-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ско-рост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59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37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8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066C0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20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8F0948" w:rsidRPr="00066C0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ный, текущий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дениям, текущий ремонт площадок</w:t>
            </w:r>
          </w:p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Капитальный, те-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lastRenderedPageBreak/>
              <w:t>нащение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1784">
              <w:rPr>
                <w:rFonts w:ascii="Times New Roman" w:hAnsi="Times New Roman"/>
                <w:sz w:val="20"/>
                <w:szCs w:val="20"/>
              </w:rPr>
              <w:t>в  14</w:t>
            </w:r>
            <w:proofErr w:type="gram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ОО в 2017 году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704B23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37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F0948" w:rsidRPr="00704B23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704B23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25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83005,2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83005,2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3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60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DB1641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341494,3</w:t>
            </w:r>
          </w:p>
        </w:tc>
        <w:tc>
          <w:tcPr>
            <w:tcW w:w="1137" w:type="dxa"/>
          </w:tcPr>
          <w:p w:rsidR="008F0948" w:rsidRPr="00DB164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F0948" w:rsidRPr="00DB1641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41">
              <w:rPr>
                <w:rFonts w:ascii="Times New Roman" w:hAnsi="Times New Roman"/>
                <w:sz w:val="20"/>
                <w:szCs w:val="20"/>
              </w:rPr>
              <w:t>4510,0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336984,3</w:t>
            </w:r>
          </w:p>
          <w:p w:rsidR="008F0948" w:rsidRPr="00DB1641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56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37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едены в соответствие к современным требованиям спортивные залы 9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137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7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7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22581,2</w:t>
            </w:r>
          </w:p>
        </w:tc>
        <w:tc>
          <w:tcPr>
            <w:tcW w:w="1137" w:type="dxa"/>
            <w:shd w:val="clear" w:color="auto" w:fill="auto"/>
          </w:tcPr>
          <w:p w:rsidR="008F0948" w:rsidRPr="00DB1641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17048,0</w:t>
            </w:r>
          </w:p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 замечаний по предписани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бес</w:t>
            </w:r>
            <w:r>
              <w:rPr>
                <w:rFonts w:ascii="Times New Roman" w:hAnsi="Times New Roman"/>
                <w:sz w:val="20"/>
                <w:szCs w:val="20"/>
              </w:rPr>
              <w:t>перебойной работы систем ком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муникаций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42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образо-ватель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91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2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13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6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442F65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42F65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пищеблоков  </w:t>
            </w:r>
            <w:r w:rsidRPr="00442F6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менее, чем 5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учреждениях  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442F65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442F65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442F65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442F65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442F65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34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37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еспечение питания 100% педагоги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ческих работников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69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37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83896,4</w:t>
            </w:r>
          </w:p>
        </w:tc>
        <w:tc>
          <w:tcPr>
            <w:tcW w:w="1137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83896,4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212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37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21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78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F5F5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37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2668,2</w:t>
            </w:r>
          </w:p>
        </w:tc>
        <w:tc>
          <w:tcPr>
            <w:tcW w:w="1137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F4178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2668,2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rPr>
          <w:trHeight w:val="75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17283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17283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17283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7283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8F0948" w:rsidRPr="0051185B" w:rsidTr="00AE6C82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172834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172834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172834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172834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172834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17283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B5E42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ежегодного проведения многоднев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походов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–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187483,7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187483,7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768036,7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768036,7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7A430F" w:rsidTr="00AE6C82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jc w:val="center"/>
              <w:rPr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новного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образо-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УО, 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8F0948" w:rsidRPr="007A430F" w:rsidTr="00AE6C82">
        <w:tc>
          <w:tcPr>
            <w:tcW w:w="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8F0948" w:rsidRPr="007A430F" w:rsidRDefault="008F0948" w:rsidP="00AE6C82">
            <w:pPr>
              <w:pStyle w:val="a4"/>
            </w:pPr>
          </w:p>
        </w:tc>
      </w:tr>
      <w:tr w:rsidR="008F0948" w:rsidRPr="007A430F" w:rsidTr="00AE6C82">
        <w:tc>
          <w:tcPr>
            <w:tcW w:w="980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142813,7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142813,7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7A430F" w:rsidRDefault="008F0948" w:rsidP="00AE6C82">
            <w:pPr>
              <w:pStyle w:val="a4"/>
            </w:pPr>
          </w:p>
        </w:tc>
      </w:tr>
      <w:tr w:rsidR="008F0948" w:rsidRPr="007A430F" w:rsidTr="00AE6C82">
        <w:tc>
          <w:tcPr>
            <w:tcW w:w="980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7A430F" w:rsidRDefault="008F0948" w:rsidP="00AE6C82">
            <w:pPr>
              <w:pStyle w:val="a4"/>
            </w:pPr>
          </w:p>
        </w:tc>
      </w:tr>
      <w:tr w:rsidR="008F0948" w:rsidRPr="007A430F" w:rsidTr="00AE6C82">
        <w:tc>
          <w:tcPr>
            <w:tcW w:w="980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7A430F" w:rsidRDefault="008F0948" w:rsidP="00AE6C82">
            <w:pPr>
              <w:pStyle w:val="a4"/>
            </w:pPr>
          </w:p>
        </w:tc>
      </w:tr>
      <w:tr w:rsidR="008F0948" w:rsidRPr="007A430F" w:rsidTr="00AE6C82">
        <w:trPr>
          <w:trHeight w:val="264"/>
        </w:trPr>
        <w:tc>
          <w:tcPr>
            <w:tcW w:w="980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68110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588397,9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68110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588397,9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7A430F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7A430F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225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jc w:val="center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47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47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58872,6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282049,0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282049,0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49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D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D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92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492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92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92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8F0948" w:rsidRPr="00AA7747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842DD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816C4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816C4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816C4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ем учащихся из много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лизующие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1D93">
              <w:rPr>
                <w:rFonts w:ascii="Times New Roman" w:hAnsi="Times New Roman"/>
                <w:sz w:val="20"/>
                <w:szCs w:val="20"/>
              </w:rPr>
              <w:t>вательную</w:t>
            </w:r>
            <w:proofErr w:type="spellEnd"/>
            <w:r w:rsidRPr="00B21D93">
              <w:rPr>
                <w:rFonts w:ascii="Times New Roman" w:hAnsi="Times New Roman"/>
                <w:sz w:val="20"/>
                <w:szCs w:val="20"/>
              </w:rPr>
              <w:t xml:space="preserve">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распоряд</w:t>
            </w:r>
            <w:r>
              <w:rPr>
                <w:rFonts w:ascii="Times New Roman" w:hAnsi="Times New Roman"/>
                <w:sz w:val="20"/>
                <w:szCs w:val="20"/>
              </w:rPr>
              <w:t>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236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выпуск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4477DB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бала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ль -   МКУ «ИМЦ»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rPr>
          <w:trHeight w:val="192"/>
        </w:trPr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Приведение 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требо-вани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708" w:type="dxa"/>
          </w:tcPr>
          <w:p w:rsidR="008F0948" w:rsidRPr="004D3B2A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категорий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56024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8F0948" w:rsidRPr="00D11F9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c>
          <w:tcPr>
            <w:tcW w:w="980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отраслей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 – МБОУ ДОД ДЮСШ</w:t>
            </w: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c>
          <w:tcPr>
            <w:tcW w:w="980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8F0948" w:rsidRPr="00A632FE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55B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C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43B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B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55B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43B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55B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43B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55B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43B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55B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D43B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</w:t>
            </w:r>
            <w:r>
              <w:rPr>
                <w:rFonts w:ascii="Times New Roman" w:hAnsi="Times New Roman"/>
                <w:sz w:val="20"/>
                <w:szCs w:val="20"/>
              </w:rPr>
              <w:t>рае сети общеобразова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низаций, в которых созданы усло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вия для инклюзивного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приятий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граммы Красно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«Доступ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доступной среды в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30C1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конодатель-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29808,6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7E2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11FE2" w:rsidRDefault="008F0948" w:rsidP="00AE6C8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8F0948" w:rsidRPr="00B11FE2" w:rsidRDefault="008F0948" w:rsidP="00AE6C8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8F0948" w:rsidRPr="00B11FE2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Детский сад по пер. </w:t>
            </w:r>
            <w:r w:rsidRPr="00B11F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</w:t>
            </w:r>
            <w:r>
              <w:rPr>
                <w:rFonts w:ascii="Times New Roman" w:hAnsi="Times New Roman"/>
                <w:sz w:val="20"/>
                <w:szCs w:val="20"/>
              </w:rPr>
              <w:t>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11FE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прио</w:t>
            </w:r>
            <w:r>
              <w:rPr>
                <w:rFonts w:ascii="Times New Roman" w:hAnsi="Times New Roman"/>
                <w:sz w:val="20"/>
                <w:szCs w:val="20"/>
              </w:rPr>
              <w:t>бретение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немонтируе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– управление капи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тального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топливно-энергети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ческого комплекса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11FE2" w:rsidRDefault="008F0948" w:rsidP="00AE6C8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11FE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11FE2" w:rsidRDefault="008F0948" w:rsidP="00AE6C8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11FE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11FE2" w:rsidRDefault="008F0948" w:rsidP="00AE6C8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11FE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11FE2" w:rsidRDefault="008F0948" w:rsidP="00AE6C8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B11FE2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753A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D7A9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2388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2388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2388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2388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2388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22388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3A625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3A625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3A625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школь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A430F" w:rsidRDefault="008F0948" w:rsidP="00AE6C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7A430F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3A625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3A625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3A625F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A44C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160D0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59045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софи-</w:t>
            </w:r>
            <w:r w:rsidRPr="0029223D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10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9223D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24B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868C6" w:rsidRDefault="008F0948" w:rsidP="00AE6C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868C6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E15B1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D35754">
              <w:rPr>
                <w:rFonts w:ascii="Times New Roman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>ональные</w:t>
            </w:r>
            <w:proofErr w:type="spellEnd"/>
            <w:proofErr w:type="gramEnd"/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льные образовательные организации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в текущем году (в том числе окончившим в 2015, 2016 </w:t>
            </w:r>
            <w:r w:rsidRPr="00D357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8F0948" w:rsidRPr="00D35754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35754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00A24" w:rsidRDefault="008F0948" w:rsidP="00AE6C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молоды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0A24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занной</w:t>
            </w:r>
            <w:proofErr w:type="spell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 виде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0948" w:rsidRPr="00A44C67" w:rsidRDefault="008F0948" w:rsidP="00AE6C8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A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00A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8F0948" w:rsidRPr="00A44C67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00A24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00A24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00A24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00A24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35754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13EC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00A24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B0910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7451">
              <w:rPr>
                <w:rFonts w:ascii="Times New Roman" w:hAnsi="Times New Roman"/>
                <w:sz w:val="20"/>
                <w:szCs w:val="20"/>
              </w:rPr>
              <w:t>омпенсационн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47451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 человека в 2018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76668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666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B09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B0910" w:rsidRDefault="008F0948" w:rsidP="00AE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2B091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2B09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28945,0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28945,0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2B0910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109402,1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04B23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106234,6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80" w:type="dxa"/>
            <w:vMerge w:val="restart"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8A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8A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518A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17882,8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17882,8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инже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нерных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1B3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B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B1B3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B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году- 31 ОО; в 2017 году - 1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B1B3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B1B3C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560240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8F0948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30 - в 2019,2020 г.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Устройство  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видеонаблюдения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2016 г</w:t>
            </w:r>
            <w:r>
              <w:rPr>
                <w:rFonts w:ascii="Times New Roman" w:hAnsi="Times New Roman"/>
                <w:sz w:val="20"/>
                <w:szCs w:val="20"/>
              </w:rPr>
              <w:t>оду - 7 ОО; с 2017 года- доосна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щение</w:t>
            </w:r>
            <w:r>
              <w:rPr>
                <w:rFonts w:ascii="Times New Roman" w:hAnsi="Times New Roman"/>
                <w:sz w:val="20"/>
                <w:szCs w:val="20"/>
              </w:rPr>
              <w:t>, обслуживание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году–74 ОО, 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обслуживание – 88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A740C4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территорий 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ности 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</w:t>
            </w:r>
            <w:r w:rsidRPr="00A44C67">
              <w:rPr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ризма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-ческой защищенности  муници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sz w:val="20"/>
                <w:szCs w:val="20"/>
              </w:rPr>
              <w:t>-ва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0F38E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F38E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0F38E8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ОО- в 2016 г.,</w:t>
            </w:r>
          </w:p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0948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3CA">
              <w:rPr>
                <w:rFonts w:ascii="Times New Roman" w:hAnsi="Times New Roman"/>
                <w:sz w:val="20"/>
                <w:szCs w:val="20"/>
              </w:rPr>
              <w:t>2 ОО- 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ОО- в 2020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14758,9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BE1C3E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11591,4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кнопки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47C39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Установка «тревожной» кноп</w:t>
            </w:r>
            <w:r>
              <w:rPr>
                <w:rFonts w:ascii="Times New Roman" w:hAnsi="Times New Roman"/>
                <w:sz w:val="20"/>
                <w:szCs w:val="20"/>
              </w:rPr>
              <w:t>ки в 2-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обслуживание- в 90 ОО, с 2018 года - в 91 ОО.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1022AB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1022AB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1022AB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условий для реали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зации муниципальной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70327,3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66227,3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317019,4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310397,4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адзорных органов,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чества </w:t>
            </w:r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зования,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фек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72EC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8448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8448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Сокращение 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качества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/>
                <w:sz w:val="20"/>
                <w:szCs w:val="20"/>
              </w:rPr>
              <w:t>ый распорядитель -УО,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59755,4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55655,4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267491,3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260869,3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ышения квалификации не менее 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педаго-ги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водящих 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ОО, МКУ ИМЦ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464,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464,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9607E6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A44C67" w:rsidRDefault="008F0948" w:rsidP="00AE6C82">
            <w:pPr>
              <w:pStyle w:val="a4"/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1497447,0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F93010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467104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2829E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1462898,2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836141,7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626756,5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1416277,9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1394224,4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0948" w:rsidRPr="0051185B" w:rsidTr="00AE6C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7191835,3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4486619,1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48" w:rsidRPr="004821A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948">
              <w:rPr>
                <w:rFonts w:ascii="Times New Roman" w:hAnsi="Times New Roman"/>
                <w:sz w:val="20"/>
                <w:szCs w:val="20"/>
              </w:rPr>
              <w:t>2699683,0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0948" w:rsidRPr="004210D8" w:rsidRDefault="008F0948" w:rsidP="00AE6C82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48" w:rsidRPr="00A44C67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 w:rsidR="008F0948">
        <w:rPr>
          <w:rFonts w:ascii="Times New Roman" w:hAnsi="Times New Roman" w:cs="Times New Roman"/>
          <w:sz w:val="28"/>
          <w:szCs w:val="28"/>
        </w:rPr>
        <w:t xml:space="preserve">ветствующих лет)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8F0948" w:rsidRPr="00787A4B" w:rsidTr="00AE6C82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787A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8F0948" w:rsidRPr="00787A4B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7A4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</w:tr>
      <w:tr w:rsidR="008F0948" w:rsidRPr="00787A4B" w:rsidTr="00AE6C82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7870C6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8F0948" w:rsidRPr="00F93010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948" w:rsidRPr="00F93010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48" w:rsidRPr="00F93010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8F0948" w:rsidRPr="00F93010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8F0948" w:rsidRPr="004821A4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1462898,2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948" w:rsidRPr="004821A4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1A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48" w:rsidRPr="004821A4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1A4">
              <w:rPr>
                <w:rFonts w:ascii="Times New Roman" w:hAnsi="Times New Roman"/>
                <w:bCs/>
                <w:sz w:val="20"/>
                <w:szCs w:val="20"/>
              </w:rPr>
              <w:t>836141,7</w:t>
            </w:r>
          </w:p>
        </w:tc>
        <w:tc>
          <w:tcPr>
            <w:tcW w:w="1843" w:type="dxa"/>
            <w:shd w:val="clear" w:color="auto" w:fill="auto"/>
          </w:tcPr>
          <w:p w:rsidR="008F0948" w:rsidRPr="004821A4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1A4">
              <w:rPr>
                <w:rFonts w:ascii="Times New Roman" w:hAnsi="Times New Roman"/>
                <w:sz w:val="20"/>
                <w:szCs w:val="20"/>
              </w:rPr>
              <w:t>626756,5</w:t>
            </w:r>
          </w:p>
        </w:tc>
        <w:tc>
          <w:tcPr>
            <w:tcW w:w="2479" w:type="dxa"/>
            <w:vAlign w:val="center"/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0948" w:rsidRPr="00787A4B" w:rsidTr="00AE6C8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8" w:rsidRPr="00BF5F54" w:rsidRDefault="008F0948" w:rsidP="00AE6C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7191835,3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4486619,1</w:t>
            </w:r>
          </w:p>
        </w:tc>
        <w:tc>
          <w:tcPr>
            <w:tcW w:w="1843" w:type="dxa"/>
            <w:shd w:val="clear" w:color="auto" w:fill="auto"/>
          </w:tcPr>
          <w:p w:rsidR="008F0948" w:rsidRPr="00515BC9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C6F">
              <w:rPr>
                <w:rFonts w:ascii="Times New Roman" w:hAnsi="Times New Roman"/>
                <w:sz w:val="20"/>
                <w:szCs w:val="20"/>
              </w:rPr>
              <w:t>2699</w:t>
            </w:r>
            <w:r>
              <w:rPr>
                <w:rFonts w:ascii="Times New Roman" w:hAnsi="Times New Roman"/>
                <w:sz w:val="20"/>
                <w:szCs w:val="20"/>
              </w:rPr>
              <w:t>683,0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F0948" w:rsidRDefault="008F0948" w:rsidP="00AE6C82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8F0948" w:rsidRPr="00E40512" w:rsidTr="00AE6C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услуги, показателя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ъема 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на оказание муниципальной услуги, 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яч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 рублей</w:t>
            </w:r>
          </w:p>
        </w:tc>
      </w:tr>
      <w:tr w:rsidR="008F0948" w:rsidRPr="00E40512" w:rsidTr="00AE6C82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F68B5" w:rsidRDefault="008F0948" w:rsidP="00AE6C8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F68B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F68B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F68B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7F68B5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F301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F301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F301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F301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F301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F3017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8F0948" w:rsidRPr="00E40512" w:rsidTr="00AE6C82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8F0948" w:rsidRPr="00E40512" w:rsidTr="00AE6C82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187483,7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D966EA" w:rsidRDefault="008F0948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8F0948" w:rsidRPr="00E40512" w:rsidTr="00AE6C82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8F0948" w:rsidRPr="00E40512" w:rsidTr="00AE6C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142813,7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8F0948" w:rsidRPr="00E40512" w:rsidTr="00AE6C82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8F0948" w:rsidRPr="00E40512" w:rsidTr="00AE6C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58872,6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48" w:rsidRPr="00E40512" w:rsidRDefault="008F0948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  <w:t xml:space="preserve">                         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26" w:rsidRDefault="00047426" w:rsidP="004A1E78">
      <w:pPr>
        <w:spacing w:after="0" w:line="240" w:lineRule="auto"/>
      </w:pPr>
      <w:r>
        <w:separator/>
      </w:r>
    </w:p>
  </w:endnote>
  <w:endnote w:type="continuationSeparator" w:id="0">
    <w:p w:rsidR="00047426" w:rsidRDefault="0004742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26" w:rsidRDefault="00047426" w:rsidP="004A1E78">
      <w:pPr>
        <w:spacing w:after="0" w:line="240" w:lineRule="auto"/>
      </w:pPr>
      <w:r>
        <w:separator/>
      </w:r>
    </w:p>
  </w:footnote>
  <w:footnote w:type="continuationSeparator" w:id="0">
    <w:p w:rsidR="00047426" w:rsidRDefault="0004742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6C82" w:rsidRPr="002E5C77" w:rsidRDefault="00AE6C8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3D15EA">
          <w:rPr>
            <w:rFonts w:ascii="Times New Roman" w:hAnsi="Times New Roman"/>
            <w:noProof/>
            <w:sz w:val="28"/>
            <w:szCs w:val="28"/>
          </w:rPr>
          <w:t>33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6C82" w:rsidRDefault="00AE6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AE6C82" w:rsidRDefault="00AE6C82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AE6C82" w:rsidRDefault="00AE6C82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109F5"/>
    <w:rsid w:val="00A143C4"/>
    <w:rsid w:val="00A174BA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7EA2"/>
    <w:rsid w:val="00A63F62"/>
    <w:rsid w:val="00A65C35"/>
    <w:rsid w:val="00A66E48"/>
    <w:rsid w:val="00A71290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81829"/>
    <w:rsid w:val="00D8259D"/>
    <w:rsid w:val="00D85EE3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3FDD-5428-4963-A9D3-BA490FB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14</cp:revision>
  <cp:lastPrinted>2015-10-30T05:57:00Z</cp:lastPrinted>
  <dcterms:created xsi:type="dcterms:W3CDTF">2017-12-07T08:36:00Z</dcterms:created>
  <dcterms:modified xsi:type="dcterms:W3CDTF">2018-02-08T10:24:00Z</dcterms:modified>
</cp:coreProperties>
</file>