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  <w:proofErr w:type="gramEnd"/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E67EAA" w:rsidRPr="00900C39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19.08.2019№ 1460</w:t>
      </w:r>
      <w:r w:rsidR="004A4884">
        <w:rPr>
          <w:sz w:val="28"/>
          <w:szCs w:val="28"/>
        </w:rPr>
        <w:t>; от 22.10.2019 № 1916</w:t>
      </w:r>
      <w:bookmarkStart w:id="0" w:name="_GoBack"/>
      <w:bookmarkEnd w:id="0"/>
      <w:r w:rsidR="00E67EAA" w:rsidRPr="00900C39">
        <w:rPr>
          <w:sz w:val="28"/>
          <w:szCs w:val="28"/>
        </w:rPr>
        <w:t>)</w:t>
      </w:r>
      <w:proofErr w:type="gramEnd"/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 xml:space="preserve"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</w:t>
      </w:r>
      <w:proofErr w:type="gramStart"/>
      <w:r w:rsidRPr="003A1CE9">
        <w:rPr>
          <w:sz w:val="28"/>
          <w:szCs w:val="28"/>
        </w:rPr>
        <w:t>п</w:t>
      </w:r>
      <w:proofErr w:type="gramEnd"/>
      <w:r w:rsidRPr="003A1CE9">
        <w:rPr>
          <w:sz w:val="28"/>
          <w:szCs w:val="28"/>
        </w:rPr>
        <w:t xml:space="preserve">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 xml:space="preserve">Отделу </w:t>
      </w:r>
      <w:r w:rsidR="0077650C">
        <w:rPr>
          <w:sz w:val="28"/>
          <w:szCs w:val="28"/>
        </w:rPr>
        <w:t xml:space="preserve">информатизации и </w:t>
      </w:r>
      <w:r w:rsidR="00C91611" w:rsidRPr="00C91611">
        <w:rPr>
          <w:sz w:val="28"/>
          <w:szCs w:val="28"/>
        </w:rPr>
        <w:t>по взаимодействи</w:t>
      </w:r>
      <w:r w:rsidR="0077650C">
        <w:rPr>
          <w:sz w:val="28"/>
          <w:szCs w:val="28"/>
        </w:rPr>
        <w:t>я</w:t>
      </w:r>
      <w:r w:rsidR="00C91611" w:rsidRPr="00C91611">
        <w:rPr>
          <w:sz w:val="28"/>
          <w:szCs w:val="28"/>
        </w:rPr>
        <w:t xml:space="preserve"> со СМИ (</w:t>
      </w:r>
      <w:r w:rsidR="00C31010">
        <w:rPr>
          <w:sz w:val="28"/>
          <w:szCs w:val="28"/>
        </w:rPr>
        <w:t>Вареник</w:t>
      </w:r>
      <w:r w:rsidR="00C91611" w:rsidRPr="00C91611">
        <w:rPr>
          <w:sz w:val="28"/>
          <w:szCs w:val="28"/>
        </w:rPr>
        <w:t xml:space="preserve">) разместить (опубликовать) настоящее постановление </w:t>
      </w:r>
      <w:r w:rsidR="00C31010">
        <w:rPr>
          <w:sz w:val="28"/>
          <w:szCs w:val="28"/>
        </w:rPr>
        <w:t xml:space="preserve">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</w:t>
      </w:r>
      <w:r w:rsidR="00C91611" w:rsidRPr="00C91611">
        <w:rPr>
          <w:sz w:val="28"/>
          <w:szCs w:val="28"/>
        </w:rPr>
        <w:t>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EAA" w:rsidRPr="00900C39">
        <w:rPr>
          <w:sz w:val="28"/>
          <w:szCs w:val="28"/>
        </w:rPr>
        <w:t xml:space="preserve">. </w:t>
      </w:r>
      <w:proofErr w:type="gramStart"/>
      <w:r w:rsidR="00E67EAA" w:rsidRPr="00900C39">
        <w:rPr>
          <w:sz w:val="28"/>
          <w:szCs w:val="28"/>
        </w:rPr>
        <w:t>Контроль за</w:t>
      </w:r>
      <w:proofErr w:type="gramEnd"/>
      <w:r w:rsidR="00E67EAA" w:rsidRPr="00900C39">
        <w:rPr>
          <w:sz w:val="28"/>
          <w:szCs w:val="28"/>
        </w:rPr>
        <w:t xml:space="preserve"> выполнением настоящего постановления возложить на заместите</w:t>
      </w:r>
      <w:r w:rsidR="00435440" w:rsidRPr="00900C39">
        <w:rPr>
          <w:sz w:val="28"/>
          <w:szCs w:val="28"/>
        </w:rPr>
        <w:t xml:space="preserve">ля главы муниципального образования Темрюкский </w:t>
      </w:r>
      <w:r w:rsidR="00E67EAA" w:rsidRPr="00900C39">
        <w:rPr>
          <w:sz w:val="28"/>
          <w:szCs w:val="28"/>
        </w:rPr>
        <w:t xml:space="preserve">район </w:t>
      </w:r>
      <w:r w:rsidR="00123FC3">
        <w:rPr>
          <w:sz w:val="28"/>
          <w:szCs w:val="28"/>
        </w:rPr>
        <w:t xml:space="preserve">Т.Н. </w:t>
      </w:r>
      <w:proofErr w:type="spellStart"/>
      <w:r w:rsidR="00123FC3">
        <w:rPr>
          <w:sz w:val="28"/>
          <w:szCs w:val="28"/>
        </w:rPr>
        <w:t>Никиташ</w:t>
      </w:r>
      <w:proofErr w:type="spellEnd"/>
      <w:r w:rsidR="00E67EAA" w:rsidRPr="00900C39">
        <w:rPr>
          <w:sz w:val="28"/>
          <w:szCs w:val="28"/>
        </w:rPr>
        <w:t>.</w:t>
      </w:r>
    </w:p>
    <w:p w:rsidR="00E67EAA" w:rsidRPr="00900C39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4A4884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муниципальной программы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D63FA" w:rsidRPr="00C91611" w:rsidRDefault="007D63FA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</w:t>
      </w:r>
      <w:proofErr w:type="gramStart"/>
      <w:r w:rsidR="006E028C" w:rsidRPr="00900C39">
        <w:rPr>
          <w:sz w:val="28"/>
          <w:szCs w:val="28"/>
        </w:rPr>
        <w:t>от</w:t>
      </w:r>
      <w:proofErr w:type="gramEnd"/>
      <w:r w:rsidR="006E028C" w:rsidRPr="00900C39">
        <w:rPr>
          <w:sz w:val="28"/>
          <w:szCs w:val="28"/>
        </w:rPr>
        <w:t xml:space="preserve">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="004A4884">
        <w:rPr>
          <w:sz w:val="28"/>
          <w:szCs w:val="28"/>
        </w:rPr>
        <w:t xml:space="preserve">; </w:t>
      </w:r>
      <w:r w:rsidR="004A4884" w:rsidRPr="004A4884">
        <w:rPr>
          <w:sz w:val="28"/>
          <w:szCs w:val="28"/>
        </w:rPr>
        <w:t>от 22.10.2019 № 1916</w:t>
      </w:r>
      <w:r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4A4884" w:rsidRDefault="004A4884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4A4884" w:rsidP="00CC72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8C" w:rsidRPr="006E028C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информатизации и </w:t>
            </w:r>
            <w:r w:rsidR="006E028C" w:rsidRPr="006E028C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="006E028C" w:rsidRPr="006E028C">
              <w:rPr>
                <w:sz w:val="28"/>
                <w:szCs w:val="28"/>
              </w:rPr>
              <w:t xml:space="preserve"> со СМИ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 о</w:t>
            </w:r>
            <w:r w:rsidRPr="004A4884">
              <w:rPr>
                <w:sz w:val="28"/>
                <w:szCs w:val="28"/>
              </w:rPr>
              <w:t>тдел информатизации и взаимодействия со СМИ</w:t>
            </w:r>
            <w:r>
              <w:rPr>
                <w:sz w:val="28"/>
                <w:szCs w:val="28"/>
              </w:rPr>
              <w:t>)</w:t>
            </w: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Default="004A4884" w:rsidP="00CC72A6">
            <w:pPr>
              <w:rPr>
                <w:sz w:val="28"/>
                <w:szCs w:val="28"/>
              </w:rPr>
            </w:pPr>
            <w:r w:rsidRPr="004A4884">
              <w:rPr>
                <w:sz w:val="28"/>
                <w:szCs w:val="28"/>
              </w:rPr>
              <w:t xml:space="preserve">Отдел информатизации и взаимодействия со СМИ </w:t>
            </w: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Pr="006E028C" w:rsidRDefault="004A4884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</w:t>
            </w:r>
            <w:r w:rsidRPr="006E028C">
              <w:rPr>
                <w:bCs/>
                <w:sz w:val="28"/>
                <w:szCs w:val="28"/>
              </w:rPr>
              <w:lastRenderedPageBreak/>
              <w:t>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6E028C">
              <w:rPr>
                <w:sz w:val="28"/>
                <w:szCs w:val="28"/>
              </w:rPr>
              <w:t>целевых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муниципального образования Темрюкский район в печатном издании, сети Интернет;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 xml:space="preserve">количество информационных </w:t>
            </w:r>
            <w:r w:rsidRPr="006E028C">
              <w:rPr>
                <w:sz w:val="28"/>
                <w:szCs w:val="28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стоек прессы»;</w:t>
            </w:r>
          </w:p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proofErr w:type="spellStart"/>
            <w:r>
              <w:rPr>
                <w:sz w:val="28"/>
                <w:szCs w:val="28"/>
              </w:rPr>
              <w:t>квадрокоптера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E028C" w:rsidRPr="006E028C" w:rsidRDefault="003A1CE9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«Приобретение комплектующих и дополнительных аксессуаров к фото и видеотехнике»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4A4884">
              <w:rPr>
                <w:sz w:val="28"/>
                <w:szCs w:val="28"/>
              </w:rPr>
              <w:t>2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5143B5">
              <w:rPr>
                <w:sz w:val="28"/>
                <w:szCs w:val="28"/>
              </w:rPr>
              <w:t>148</w:t>
            </w:r>
            <w:r w:rsidR="00081BF6">
              <w:rPr>
                <w:sz w:val="28"/>
                <w:szCs w:val="28"/>
              </w:rPr>
              <w:t>19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3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745DA">
              <w:rPr>
                <w:sz w:val="28"/>
                <w:szCs w:val="28"/>
              </w:rPr>
              <w:t>2350,4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436F5">
              <w:rPr>
                <w:sz w:val="28"/>
                <w:szCs w:val="28"/>
              </w:rPr>
              <w:t>2212,9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Default="007745DA" w:rsidP="00E436F5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E436F5">
              <w:rPr>
                <w:sz w:val="28"/>
                <w:szCs w:val="28"/>
              </w:rPr>
              <w:t>2212,9</w:t>
            </w:r>
            <w:r>
              <w:rPr>
                <w:sz w:val="28"/>
                <w:szCs w:val="28"/>
              </w:rPr>
              <w:t xml:space="preserve"> тыс. руб.</w:t>
            </w:r>
            <w:r w:rsidR="00E436F5">
              <w:rPr>
                <w:sz w:val="28"/>
                <w:szCs w:val="28"/>
              </w:rPr>
              <w:t>;</w:t>
            </w:r>
          </w:p>
          <w:p w:rsidR="00E436F5" w:rsidRPr="006E028C" w:rsidRDefault="00E436F5" w:rsidP="00E436F5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436F5">
              <w:rPr>
                <w:sz w:val="28"/>
                <w:szCs w:val="28"/>
              </w:rPr>
              <w:t xml:space="preserve"> год – 2212,9 тыс. руб.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Контроль </w:t>
            </w:r>
            <w:proofErr w:type="gramStart"/>
            <w:r w:rsidRPr="006E028C">
              <w:rPr>
                <w:sz w:val="28"/>
                <w:szCs w:val="28"/>
              </w:rPr>
              <w:t>за</w:t>
            </w:r>
            <w:proofErr w:type="gramEnd"/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выполнением </w:t>
            </w:r>
            <w:proofErr w:type="gramStart"/>
            <w:r w:rsidRPr="006E028C">
              <w:rPr>
                <w:sz w:val="28"/>
                <w:szCs w:val="28"/>
              </w:rPr>
              <w:t>муниципальной</w:t>
            </w:r>
            <w:proofErr w:type="gramEnd"/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 xml:space="preserve"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</w:t>
      </w:r>
      <w:proofErr w:type="gramStart"/>
      <w:r w:rsidRPr="00C91611">
        <w:rPr>
          <w:b w:val="0"/>
          <w:szCs w:val="28"/>
        </w:rPr>
        <w:t>от</w:t>
      </w:r>
      <w:proofErr w:type="gramEnd"/>
      <w:r w:rsidRPr="00C91611">
        <w:rPr>
          <w:b w:val="0"/>
          <w:szCs w:val="28"/>
        </w:rPr>
        <w:t xml:space="preserve"> 19.10.2016 № 931; от </w:t>
      </w:r>
      <w:r w:rsidRPr="00C91611">
        <w:rPr>
          <w:b w:val="0"/>
          <w:szCs w:val="28"/>
        </w:rPr>
        <w:lastRenderedPageBreak/>
        <w:t>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Осуществление информационной стратегии органов местного самоуправления предполагает важную социальную функцию </w:t>
      </w:r>
      <w:proofErr w:type="gramStart"/>
      <w:r w:rsidRPr="006E028C">
        <w:rPr>
          <w:b w:val="0"/>
          <w:spacing w:val="2"/>
          <w:szCs w:val="28"/>
          <w:shd w:val="clear" w:color="auto" w:fill="FFFFFF"/>
        </w:rPr>
        <w:t>–и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>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proofErr w:type="gramStart"/>
      <w:r w:rsidRPr="006E028C">
        <w:rPr>
          <w:b w:val="0"/>
          <w:spacing w:val="2"/>
          <w:szCs w:val="28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  <w:proofErr w:type="gramEnd"/>
      <w:r w:rsidRPr="006E028C">
        <w:rPr>
          <w:b w:val="0"/>
          <w:spacing w:val="2"/>
          <w:szCs w:val="28"/>
          <w:shd w:val="clear" w:color="auto" w:fill="FFFFFF"/>
        </w:rPr>
        <w:t xml:space="preserve">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lastRenderedPageBreak/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proofErr w:type="gramStart"/>
      <w:r w:rsidRPr="00C91611">
        <w:rPr>
          <w:sz w:val="28"/>
          <w:szCs w:val="28"/>
        </w:rPr>
        <w:lastRenderedPageBreak/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  <w:proofErr w:type="gramEnd"/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C91611" w:rsidRPr="00C91611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22.10.2019 № 1916)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435440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212894">
      <w:pPr>
        <w:ind w:right="141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135"/>
        <w:gridCol w:w="992"/>
        <w:gridCol w:w="1134"/>
        <w:gridCol w:w="709"/>
        <w:gridCol w:w="708"/>
        <w:gridCol w:w="851"/>
        <w:gridCol w:w="992"/>
        <w:gridCol w:w="992"/>
        <w:gridCol w:w="1238"/>
        <w:gridCol w:w="1172"/>
      </w:tblGrid>
      <w:tr w:rsidR="00CC72A6" w:rsidRPr="00B07C4E" w:rsidTr="00AF0A00">
        <w:tc>
          <w:tcPr>
            <w:tcW w:w="674" w:type="dxa"/>
            <w:vMerge w:val="restart"/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</w:r>
            <w:proofErr w:type="gramStart"/>
            <w:r w:rsidRPr="00B07C4E">
              <w:rPr>
                <w:rFonts w:ascii="Times New Roman" w:hAnsi="Times New Roman" w:cs="Times New Roman"/>
              </w:rPr>
              <w:t>п</w:t>
            </w:r>
            <w:proofErr w:type="gramEnd"/>
            <w:r w:rsidRPr="00B07C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2A6" w:rsidRPr="00B07C4E" w:rsidRDefault="00CC72A6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A00" w:rsidRPr="00B07C4E" w:rsidTr="00AF0A00">
        <w:tc>
          <w:tcPr>
            <w:tcW w:w="674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F0A00" w:rsidRPr="00B07C4E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0A00" w:rsidRPr="00B07C4E" w:rsidTr="00AF0A00">
        <w:tc>
          <w:tcPr>
            <w:tcW w:w="674" w:type="dxa"/>
            <w:tcBorders>
              <w:right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Темрюкскийрайон в СМИ»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0A00" w:rsidRPr="007A2B65" w:rsidRDefault="00AF0A00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135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708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851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AF0A00" w:rsidRPr="007A2B65" w:rsidRDefault="00AF0A00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AF0A00" w:rsidRPr="00B07C4E" w:rsidRDefault="00AF0A00" w:rsidP="00AF0A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135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0A00" w:rsidRPr="00B07C4E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0A00" w:rsidRPr="00B07C4E" w:rsidTr="00AF0A00">
        <w:tc>
          <w:tcPr>
            <w:tcW w:w="67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AF0A00" w:rsidRDefault="00AF0A00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квадрокоптера</w:t>
            </w:r>
            <w:proofErr w:type="spellEnd"/>
          </w:p>
        </w:tc>
        <w:tc>
          <w:tcPr>
            <w:tcW w:w="1135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0A00" w:rsidRPr="00B07C4E" w:rsidTr="00AF0A00">
        <w:trPr>
          <w:trHeight w:val="279"/>
        </w:trPr>
        <w:tc>
          <w:tcPr>
            <w:tcW w:w="67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AF0A00" w:rsidRDefault="00AF0A00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135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AF0A00" w:rsidRDefault="00AF0A00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2894" w:rsidRDefault="00212894" w:rsidP="00713D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745DA" w:rsidRDefault="007745DA" w:rsidP="00FE5A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lastRenderedPageBreak/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22.10.202019 № 1916</w:t>
      </w:r>
      <w:r w:rsidRPr="008E5D78">
        <w:rPr>
          <w:bCs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</w:r>
            <w:proofErr w:type="gramStart"/>
            <w:r w:rsidRPr="008726B9">
              <w:rPr>
                <w:rFonts w:ascii="Times New Roman" w:hAnsi="Times New Roman" w:cs="Times New Roman"/>
              </w:rPr>
              <w:t>п</w:t>
            </w:r>
            <w:proofErr w:type="gramEnd"/>
            <w:r w:rsidRPr="008726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13DE4">
        <w:trPr>
          <w:trHeight w:val="587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7A51D3" w:rsidRPr="00F358C0" w:rsidRDefault="00CC72A6" w:rsidP="00F358C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AF0A00" w:rsidRPr="008726B9" w:rsidTr="00F358C0">
        <w:trPr>
          <w:trHeight w:val="708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AF0A00" w:rsidRDefault="00AF0A00" w:rsidP="00F358C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AF0A00" w:rsidRPr="00F358C0" w:rsidRDefault="00AF0A00" w:rsidP="00F358C0"/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77650C" w:rsidRDefault="00AF0A00" w:rsidP="0077650C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</w:t>
            </w:r>
            <w:r w:rsidR="0077650C">
              <w:t xml:space="preserve"> информатизации и </w:t>
            </w:r>
            <w:r w:rsidRPr="008726B9">
              <w:t>взаимодействи</w:t>
            </w:r>
            <w:r w:rsidR="0077650C">
              <w:t>я</w:t>
            </w:r>
            <w:r w:rsidRPr="008726B9">
              <w:t xml:space="preserve"> со СМИ</w:t>
            </w:r>
          </w:p>
          <w:p w:rsidR="0077650C" w:rsidRPr="0077650C" w:rsidRDefault="0077650C" w:rsidP="0077650C"/>
          <w:p w:rsidR="0077650C" w:rsidRPr="0077650C" w:rsidRDefault="0077650C" w:rsidP="0077650C"/>
          <w:p w:rsidR="0077650C" w:rsidRDefault="0077650C" w:rsidP="0077650C"/>
          <w:p w:rsidR="00AF0A00" w:rsidRDefault="00AF0A00" w:rsidP="0077650C"/>
          <w:p w:rsidR="0077650C" w:rsidRDefault="0077650C" w:rsidP="0077650C"/>
          <w:p w:rsidR="0077650C" w:rsidRDefault="0077650C" w:rsidP="0077650C"/>
          <w:p w:rsidR="0077650C" w:rsidRPr="0077650C" w:rsidRDefault="0077650C" w:rsidP="0077650C"/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4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7745DA">
        <w:trPr>
          <w:trHeight w:val="28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7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AF0A00" w:rsidRPr="00F358C0" w:rsidRDefault="00AF0A00" w:rsidP="008956B0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95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4A23A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AF0A0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F0A00" w:rsidRDefault="00AF0A00" w:rsidP="004A23A7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4A23A7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1306,9</w:t>
            </w:r>
          </w:p>
        </w:tc>
        <w:tc>
          <w:tcPr>
            <w:tcW w:w="1134" w:type="dxa"/>
          </w:tcPr>
          <w:p w:rsidR="00AF0A00" w:rsidRPr="00F358C0" w:rsidRDefault="00AF0A00" w:rsidP="004A23A7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2951DD">
        <w:trPr>
          <w:trHeight w:val="288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AF0A00" w:rsidRPr="008726B9" w:rsidTr="002951DD">
        <w:trPr>
          <w:trHeight w:val="274"/>
        </w:trPr>
        <w:tc>
          <w:tcPr>
            <w:tcW w:w="817" w:type="dxa"/>
            <w:vMerge w:val="restart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AF0A00" w:rsidRDefault="00AF0A00" w:rsidP="002E7A01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Организация подписки </w:t>
            </w:r>
            <w:r w:rsidRPr="008726B9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Темрюкский район на периодические печатные издания</w:t>
            </w:r>
          </w:p>
          <w:p w:rsidR="00AF0A00" w:rsidRPr="00F358C0" w:rsidRDefault="00AF0A00" w:rsidP="00F358C0"/>
          <w:p w:rsidR="00AF0A00" w:rsidRPr="00F358C0" w:rsidRDefault="00AF0A00" w:rsidP="00F358C0"/>
          <w:p w:rsidR="0077650C" w:rsidRDefault="0077650C" w:rsidP="00F358C0"/>
          <w:p w:rsidR="0077650C" w:rsidRPr="0077650C" w:rsidRDefault="0077650C" w:rsidP="0077650C"/>
          <w:p w:rsidR="0077650C" w:rsidRDefault="0077650C" w:rsidP="0077650C"/>
          <w:p w:rsidR="00AF0A00" w:rsidRDefault="00AF0A00" w:rsidP="0077650C">
            <w:pPr>
              <w:jc w:val="right"/>
            </w:pPr>
          </w:p>
          <w:p w:rsidR="0077650C" w:rsidRPr="0077650C" w:rsidRDefault="0077650C" w:rsidP="0077650C">
            <w:pPr>
              <w:jc w:val="right"/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Default="00AF0A00" w:rsidP="00F358C0">
            <w:pPr>
              <w:widowControl w:val="0"/>
              <w:contextualSpacing/>
              <w:jc w:val="center"/>
            </w:pPr>
            <w:r w:rsidRPr="008726B9">
              <w:t xml:space="preserve">100 % </w:t>
            </w:r>
            <w:r w:rsidRPr="008726B9">
              <w:lastRenderedPageBreak/>
              <w:t>обеспечение печатными изданиями АМОТР, а также социально-незащищенного населения</w:t>
            </w:r>
          </w:p>
          <w:p w:rsidR="00AF0A00" w:rsidRDefault="00AF0A00" w:rsidP="00F358C0"/>
          <w:p w:rsidR="00AF0A00" w:rsidRDefault="00AF0A00" w:rsidP="00F358C0"/>
          <w:p w:rsidR="00AF0A00" w:rsidRDefault="00AF0A00" w:rsidP="00F358C0"/>
          <w:p w:rsidR="00AF0A00" w:rsidRPr="00F358C0" w:rsidRDefault="00AF0A00" w:rsidP="00F358C0"/>
        </w:tc>
        <w:tc>
          <w:tcPr>
            <w:tcW w:w="2268" w:type="dxa"/>
            <w:vMerge w:val="restart"/>
          </w:tcPr>
          <w:p w:rsidR="00AF0A00" w:rsidRDefault="00AF0A00" w:rsidP="008E5D78">
            <w:pPr>
              <w:widowControl w:val="0"/>
              <w:contextualSpacing/>
              <w:jc w:val="center"/>
            </w:pPr>
            <w:r w:rsidRPr="008726B9">
              <w:lastRenderedPageBreak/>
              <w:t xml:space="preserve">Администрация </w:t>
            </w:r>
            <w:r w:rsidRPr="008726B9">
              <w:lastRenderedPageBreak/>
              <w:t xml:space="preserve">муниципального образования, Темрюкский район, </w:t>
            </w:r>
            <w:r w:rsidR="0077650C" w:rsidRPr="0077650C">
              <w:t>отдел информатизации и взаимодействия со СМИ</w:t>
            </w:r>
          </w:p>
          <w:p w:rsidR="00AF0A00" w:rsidRPr="00F358C0" w:rsidRDefault="00AF0A00" w:rsidP="00F358C0"/>
        </w:tc>
      </w:tr>
      <w:tr w:rsidR="00AF0A00" w:rsidRPr="008726B9" w:rsidTr="002951DD">
        <w:trPr>
          <w:trHeight w:val="116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2951DD">
        <w:trPr>
          <w:trHeight w:val="87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2951DD">
        <w:trPr>
          <w:trHeight w:val="159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137,5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2951DD">
        <w:trPr>
          <w:trHeight w:val="130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7745DA">
        <w:trPr>
          <w:trHeight w:val="378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7745D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AF0A00">
        <w:trPr>
          <w:trHeight w:val="375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F0A00" w:rsidRPr="00F358C0" w:rsidRDefault="00AF0A00" w:rsidP="00F358C0"/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AF0A00" w:rsidRPr="00F358C0" w:rsidRDefault="00AF0A00" w:rsidP="004A23A7"/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F358C0">
        <w:trPr>
          <w:trHeight w:val="1094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AF0A00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669,2</w:t>
            </w:r>
          </w:p>
          <w:p w:rsidR="00AF0A00" w:rsidRPr="00F358C0" w:rsidRDefault="00AF0A00" w:rsidP="004A23A7"/>
        </w:tc>
        <w:tc>
          <w:tcPr>
            <w:tcW w:w="850" w:type="dxa"/>
          </w:tcPr>
          <w:p w:rsidR="00AF0A00" w:rsidRDefault="00AF0A00" w:rsidP="004A23A7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4A23A7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669,2</w:t>
            </w:r>
          </w:p>
          <w:p w:rsidR="00AF0A00" w:rsidRPr="00F358C0" w:rsidRDefault="00AF0A00" w:rsidP="004A23A7"/>
        </w:tc>
        <w:tc>
          <w:tcPr>
            <w:tcW w:w="1134" w:type="dxa"/>
          </w:tcPr>
          <w:p w:rsidR="00AF0A00" w:rsidRPr="008726B9" w:rsidRDefault="00AF0A00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F25399">
        <w:trPr>
          <w:trHeight w:val="142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F0A00" w:rsidRPr="00D4736B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5D53F3" w:rsidRDefault="00AF0A00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AF0A00" w:rsidRPr="005D53F3" w:rsidRDefault="00AF0A00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AF0A00" w:rsidRPr="005D53F3" w:rsidRDefault="00AF0A00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Default="00AF0A00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AF0A00" w:rsidRDefault="00AF0A00" w:rsidP="00CC72A6">
            <w:pPr>
              <w:widowControl w:val="0"/>
              <w:contextualSpacing/>
            </w:pPr>
          </w:p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  <w:r w:rsidRPr="008726B9">
              <w:t xml:space="preserve">Администрация муниципального образования, Темрюкский район, </w:t>
            </w:r>
            <w:r w:rsidR="0077650C" w:rsidRPr="0077650C">
              <w:t>отдел информатизации и взаимодействия со СМИ</w:t>
            </w: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Default="00AF0A00" w:rsidP="00CC72A6">
            <w:pPr>
              <w:widowControl w:val="0"/>
              <w:contextualSpacing/>
              <w:jc w:val="both"/>
            </w:pPr>
          </w:p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5D53F3" w:rsidRDefault="00AF0A00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AF0A00" w:rsidRPr="005D53F3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AF0A00" w:rsidRDefault="00AF0A00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81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7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32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F358C0" w:rsidRDefault="00123FC3" w:rsidP="008956B0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52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51595" w:rsidRDefault="00AF0A00" w:rsidP="00AF0A00">
            <w:pPr>
              <w:jc w:val="center"/>
            </w:pPr>
            <w:r w:rsidRPr="00251595">
              <w:t>всего</w:t>
            </w:r>
          </w:p>
        </w:tc>
        <w:tc>
          <w:tcPr>
            <w:tcW w:w="1134" w:type="dxa"/>
            <w:gridSpan w:val="3"/>
          </w:tcPr>
          <w:p w:rsidR="00AF0A00" w:rsidRPr="00251595" w:rsidRDefault="00AF0A00" w:rsidP="00AF0A00">
            <w:pPr>
              <w:jc w:val="center"/>
            </w:pPr>
            <w:r w:rsidRPr="00251595">
              <w:t>200,2</w:t>
            </w:r>
          </w:p>
        </w:tc>
        <w:tc>
          <w:tcPr>
            <w:tcW w:w="850" w:type="dxa"/>
          </w:tcPr>
          <w:p w:rsidR="00AF0A00" w:rsidRPr="00251595" w:rsidRDefault="00AF0A00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  <w:gridSpan w:val="2"/>
          </w:tcPr>
          <w:p w:rsidR="00AF0A00" w:rsidRPr="00251595" w:rsidRDefault="00AF0A00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</w:tcPr>
          <w:p w:rsidR="00AF0A00" w:rsidRPr="00251595" w:rsidRDefault="00AF0A00" w:rsidP="00AF0A00">
            <w:pPr>
              <w:jc w:val="center"/>
            </w:pPr>
            <w:r w:rsidRPr="00251595">
              <w:t>200,2</w:t>
            </w:r>
          </w:p>
        </w:tc>
        <w:tc>
          <w:tcPr>
            <w:tcW w:w="1134" w:type="dxa"/>
          </w:tcPr>
          <w:p w:rsidR="00AF0A00" w:rsidRDefault="00AF0A00" w:rsidP="00AF0A00">
            <w:pPr>
              <w:jc w:val="center"/>
            </w:pPr>
            <w:r w:rsidRPr="00251595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5399" w:rsidRPr="008726B9" w:rsidTr="002951DD">
        <w:trPr>
          <w:trHeight w:val="328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8726B9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D06D0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4F7118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AF0A00" w:rsidRPr="008726B9" w:rsidTr="002951DD">
        <w:trPr>
          <w:trHeight w:val="328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AF0A00" w:rsidRPr="00363209" w:rsidRDefault="00AF0A00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</w:t>
            </w:r>
            <w:r w:rsidRPr="008726B9">
              <w:rPr>
                <w:rFonts w:ascii="Times New Roman" w:hAnsi="Times New Roman" w:cs="Times New Roman"/>
              </w:rPr>
              <w:lastRenderedPageBreak/>
              <w:t>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EF167D" w:rsidRDefault="00AF0A00" w:rsidP="00CC72A6">
            <w:pPr>
              <w:contextualSpacing/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0925FF">
            <w:pPr>
              <w:widowControl w:val="0"/>
              <w:contextualSpacing/>
            </w:pPr>
            <w:r w:rsidRPr="000925FF">
              <w:t xml:space="preserve">100% информирование </w:t>
            </w:r>
            <w:r w:rsidRPr="000925FF">
              <w:lastRenderedPageBreak/>
              <w:t xml:space="preserve">населения </w:t>
            </w:r>
          </w:p>
        </w:tc>
        <w:tc>
          <w:tcPr>
            <w:tcW w:w="2268" w:type="dxa"/>
            <w:vMerge w:val="restart"/>
          </w:tcPr>
          <w:p w:rsidR="00AF0A00" w:rsidRPr="008726B9" w:rsidRDefault="00AF0A00" w:rsidP="000925FF">
            <w:pPr>
              <w:widowControl w:val="0"/>
              <w:contextualSpacing/>
              <w:jc w:val="both"/>
            </w:pPr>
            <w:r w:rsidRPr="008726B9">
              <w:lastRenderedPageBreak/>
              <w:t xml:space="preserve">Администрация муниципального </w:t>
            </w:r>
            <w:r w:rsidRPr="008726B9">
              <w:lastRenderedPageBreak/>
              <w:t>образования</w:t>
            </w:r>
            <w:r w:rsidR="0077650C">
              <w:t xml:space="preserve"> </w:t>
            </w:r>
            <w:r w:rsidRPr="008726B9">
              <w:t xml:space="preserve">Темрюкский район, </w:t>
            </w:r>
            <w:r w:rsidR="0077650C" w:rsidRPr="0077650C">
              <w:t xml:space="preserve">отдел информатизации и взаимодействия со СМИ </w:t>
            </w:r>
          </w:p>
        </w:tc>
      </w:tr>
      <w:tr w:rsidR="00AF0A00" w:rsidRPr="008726B9" w:rsidTr="002951DD">
        <w:trPr>
          <w:trHeight w:val="313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13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1B01E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4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A00">
              <w:rPr>
                <w:rFonts w:ascii="Times New Roman" w:hAnsi="Times New Roman" w:cs="Times New Roman"/>
              </w:rPr>
              <w:t>016,5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0A00">
              <w:rPr>
                <w:rFonts w:ascii="Times New Roman" w:hAnsi="Times New Roman" w:cs="Times New Roman"/>
              </w:rPr>
              <w:t>016,5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97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6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31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AF0A00" w:rsidRPr="008726B9" w:rsidRDefault="00123FC3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2016,5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363209">
        <w:trPr>
          <w:trHeight w:val="864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E979B3" w:rsidRDefault="00123FC3" w:rsidP="00123FC3">
            <w:pPr>
              <w:jc w:val="center"/>
            </w:pPr>
            <w:r w:rsidRPr="00E979B3">
              <w:t>всего</w:t>
            </w:r>
          </w:p>
        </w:tc>
        <w:tc>
          <w:tcPr>
            <w:tcW w:w="1134" w:type="dxa"/>
            <w:gridSpan w:val="3"/>
          </w:tcPr>
          <w:p w:rsidR="00123FC3" w:rsidRPr="00E979B3" w:rsidRDefault="00123FC3" w:rsidP="00123FC3">
            <w:pPr>
              <w:jc w:val="center"/>
            </w:pPr>
            <w:r>
              <w:t>13623,9</w:t>
            </w:r>
          </w:p>
        </w:tc>
        <w:tc>
          <w:tcPr>
            <w:tcW w:w="850" w:type="dxa"/>
          </w:tcPr>
          <w:p w:rsidR="00123FC3" w:rsidRPr="00E979B3" w:rsidRDefault="00123FC3" w:rsidP="00123FC3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  <w:gridSpan w:val="2"/>
          </w:tcPr>
          <w:p w:rsidR="00123FC3" w:rsidRPr="00E979B3" w:rsidRDefault="00123FC3" w:rsidP="00123FC3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</w:tcPr>
          <w:p w:rsidR="00123FC3" w:rsidRPr="00E979B3" w:rsidRDefault="00123FC3" w:rsidP="00123FC3">
            <w:pPr>
              <w:jc w:val="center"/>
            </w:pPr>
            <w:r>
              <w:t>13623,9</w:t>
            </w:r>
          </w:p>
        </w:tc>
        <w:tc>
          <w:tcPr>
            <w:tcW w:w="1134" w:type="dxa"/>
          </w:tcPr>
          <w:p w:rsidR="00123FC3" w:rsidRDefault="00123FC3" w:rsidP="00123FC3">
            <w:pPr>
              <w:jc w:val="center"/>
            </w:pPr>
            <w:r w:rsidRPr="00E979B3"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414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AF0A00" w:rsidRDefault="00AF0A00" w:rsidP="00F25399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Создание  информационного портала органов местного самоуправления муниципального образования Темрюкский район</w:t>
            </w:r>
          </w:p>
          <w:p w:rsidR="00AF0A00" w:rsidRPr="007A51D3" w:rsidRDefault="00AF0A00" w:rsidP="007A51D3"/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2E7A01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 xml:space="preserve">100% информирование населения </w:t>
            </w:r>
          </w:p>
          <w:p w:rsidR="00AF0A00" w:rsidRPr="008726B9" w:rsidRDefault="00AF0A00" w:rsidP="002E7A01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Default="00AF0A00" w:rsidP="00F25399">
            <w:pPr>
              <w:widowControl w:val="0"/>
              <w:contextualSpacing/>
              <w:jc w:val="both"/>
            </w:pPr>
            <w:r w:rsidRPr="008726B9">
              <w:t xml:space="preserve">Администрация муниципального </w:t>
            </w:r>
            <w:proofErr w:type="spellStart"/>
            <w:r w:rsidRPr="008726B9">
              <w:t>образованияТемрюкский</w:t>
            </w:r>
            <w:proofErr w:type="spellEnd"/>
            <w:r w:rsidRPr="008726B9">
              <w:t xml:space="preserve"> район,</w:t>
            </w:r>
            <w:r>
              <w:t xml:space="preserve"> отдел </w:t>
            </w:r>
            <w:r w:rsidR="0077650C" w:rsidRPr="0077650C">
              <w:t>информатизации и взаимодействия со СМИ</w:t>
            </w:r>
          </w:p>
          <w:p w:rsidR="00AF0A00" w:rsidRDefault="00AF0A00" w:rsidP="00F25399">
            <w:pPr>
              <w:widowControl w:val="0"/>
              <w:contextualSpacing/>
              <w:jc w:val="both"/>
            </w:pPr>
          </w:p>
          <w:p w:rsidR="00AF0A00" w:rsidRDefault="00AF0A00" w:rsidP="00F25399">
            <w:pPr>
              <w:widowControl w:val="0"/>
              <w:contextualSpacing/>
              <w:jc w:val="both"/>
            </w:pPr>
          </w:p>
          <w:p w:rsidR="00AF0A00" w:rsidRPr="008726B9" w:rsidRDefault="00AF0A00" w:rsidP="00F25399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26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5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E62E5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Pr="00000E69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4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2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6D06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6D06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6D06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6D06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2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4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363209">
        <w:trPr>
          <w:trHeight w:val="202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8726B9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123FC3" w:rsidRDefault="00123FC3" w:rsidP="004A23A7">
            <w:pPr>
              <w:contextualSpacing/>
              <w:jc w:val="center"/>
            </w:pPr>
            <w:r w:rsidRPr="00EE62E5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4A23A7">
            <w:pPr>
              <w:contextualSpacing/>
              <w:jc w:val="center"/>
            </w:pPr>
            <w:r w:rsidRPr="00000E69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425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AF0A00" w:rsidRPr="00DE39F9" w:rsidRDefault="00AF0A00" w:rsidP="00CC72A6"/>
          <w:p w:rsidR="00AF0A00" w:rsidRPr="00DE39F9" w:rsidRDefault="00AF0A00" w:rsidP="00CC72A6"/>
          <w:p w:rsidR="00AF0A00" w:rsidRPr="00DE39F9" w:rsidRDefault="00AF0A00" w:rsidP="00CC72A6"/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E62E5" w:rsidRDefault="00AF0A00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Pr="00000E69" w:rsidRDefault="00AF0A00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AF0A00" w:rsidRDefault="00AF0A00" w:rsidP="00F25399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="0077650C" w:rsidRPr="0077650C">
              <w:t>отдел информатизации и взаимодействия со СМИ</w:t>
            </w:r>
          </w:p>
          <w:p w:rsidR="00AF0A00" w:rsidRDefault="00AF0A00" w:rsidP="00F25399"/>
          <w:p w:rsidR="00AF0A00" w:rsidRDefault="00AF0A00" w:rsidP="00F25399"/>
          <w:p w:rsidR="00AF0A00" w:rsidRDefault="00AF0A00" w:rsidP="00F25399"/>
          <w:p w:rsidR="0077650C" w:rsidRPr="008726B9" w:rsidRDefault="0077650C" w:rsidP="00F25399"/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73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59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363209">
        <w:trPr>
          <w:trHeight w:val="513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AF0A00">
        <w:trPr>
          <w:trHeight w:val="360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123FC3" w:rsidRPr="008726B9" w:rsidTr="00F25399">
        <w:trPr>
          <w:trHeight w:val="706"/>
        </w:trPr>
        <w:tc>
          <w:tcPr>
            <w:tcW w:w="817" w:type="dxa"/>
            <w:vMerge/>
          </w:tcPr>
          <w:p w:rsidR="00123FC3" w:rsidRDefault="00123FC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8726B9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123FC3" w:rsidRDefault="00123FC3" w:rsidP="004A23A7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4A23A7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123FC3" w:rsidRDefault="00123FC3" w:rsidP="004A23A7">
            <w:pPr>
              <w:pStyle w:val="ae"/>
              <w:contextualSpacing/>
              <w:jc w:val="center"/>
            </w:pPr>
            <w:r>
              <w:t>0,0</w:t>
            </w:r>
          </w:p>
          <w:p w:rsidR="00123FC3" w:rsidRDefault="00123FC3" w:rsidP="00123FC3"/>
          <w:p w:rsidR="00123FC3" w:rsidRPr="00123FC3" w:rsidRDefault="00123FC3" w:rsidP="00123FC3"/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widowControl w:val="0"/>
              <w:contextualSpacing/>
              <w:jc w:val="both"/>
            </w:pPr>
          </w:p>
        </w:tc>
      </w:tr>
      <w:tr w:rsidR="00F25399" w:rsidRPr="008726B9" w:rsidTr="002951DD">
        <w:trPr>
          <w:trHeight w:val="234"/>
        </w:trPr>
        <w:tc>
          <w:tcPr>
            <w:tcW w:w="817" w:type="dxa"/>
          </w:tcPr>
          <w:p w:rsidR="00F2539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F25399" w:rsidRPr="008726B9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25399" w:rsidRPr="002E7A01" w:rsidRDefault="00F25399" w:rsidP="00F2539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25399" w:rsidRPr="002E7A01" w:rsidRDefault="00F25399" w:rsidP="00F2539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F25399" w:rsidRPr="002E7A01" w:rsidRDefault="00F25399" w:rsidP="00F2539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25399" w:rsidRPr="002E7A01" w:rsidRDefault="00F25399" w:rsidP="00F2539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25399" w:rsidRPr="008726B9" w:rsidRDefault="00F25399" w:rsidP="00F2539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F25399" w:rsidRPr="002E7A01" w:rsidRDefault="00F25399" w:rsidP="00F25399">
            <w:pPr>
              <w:jc w:val="center"/>
            </w:pPr>
            <w:r>
              <w:t>11</w:t>
            </w:r>
          </w:p>
        </w:tc>
      </w:tr>
      <w:tr w:rsidR="00AF0A00" w:rsidRPr="008726B9" w:rsidTr="002951DD">
        <w:trPr>
          <w:trHeight w:val="234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AF0A00" w:rsidRPr="002E7A01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 xml:space="preserve">Приобретение программного продукта для осуществления деятельности по выпуску </w:t>
            </w:r>
            <w:r w:rsidRPr="002E7A01">
              <w:rPr>
                <w:rFonts w:ascii="Times New Roman" w:hAnsi="Times New Roman" w:cs="Times New Roman"/>
              </w:rPr>
              <w:lastRenderedPageBreak/>
              <w:t>печатного СМИ</w:t>
            </w: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</w:t>
            </w:r>
            <w:r w:rsidRPr="008726B9">
              <w:lastRenderedPageBreak/>
              <w:t xml:space="preserve">Темрюкский район </w:t>
            </w:r>
          </w:p>
          <w:p w:rsidR="00AF0A00" w:rsidRDefault="00AF0A00" w:rsidP="00CC72A6">
            <w:pPr>
              <w:widowControl w:val="0"/>
              <w:contextualSpacing/>
            </w:pPr>
          </w:p>
          <w:p w:rsidR="00AF0A00" w:rsidRDefault="00AF0A00" w:rsidP="00CC72A6">
            <w:pPr>
              <w:widowControl w:val="0"/>
              <w:contextualSpacing/>
            </w:pPr>
          </w:p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Pr="008726B9" w:rsidRDefault="00AF0A00" w:rsidP="002E7A01">
            <w:r w:rsidRPr="002E7A01">
              <w:lastRenderedPageBreak/>
              <w:t>Администрация муниципального образования Темрюкский район,</w:t>
            </w:r>
            <w:r>
              <w:t xml:space="preserve"> </w:t>
            </w:r>
            <w:r w:rsidR="0077650C" w:rsidRPr="0077650C">
              <w:lastRenderedPageBreak/>
              <w:t>отдел информатизации и взаимодействия со СМИ</w:t>
            </w:r>
          </w:p>
        </w:tc>
      </w:tr>
      <w:tr w:rsidR="00AF0A00" w:rsidRPr="008726B9" w:rsidTr="002951DD">
        <w:trPr>
          <w:trHeight w:val="28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313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97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219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Default="00AF0A00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Default="00AF0A00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AF0A00" w:rsidRPr="002E7A01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351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Default="00AF0A00" w:rsidP="00363209">
            <w:pPr>
              <w:jc w:val="center"/>
            </w:pPr>
            <w:r w:rsidRPr="001D3DB7">
              <w:t>56,9</w:t>
            </w:r>
          </w:p>
        </w:tc>
        <w:tc>
          <w:tcPr>
            <w:tcW w:w="850" w:type="dxa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Default="00AF0A00" w:rsidP="008956B0">
            <w:pPr>
              <w:jc w:val="center"/>
            </w:pPr>
            <w:r w:rsidRPr="001D3DB7">
              <w:t>56,9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8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2E7A01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2E7A01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850" w:type="dxa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AF0A00" w:rsidRPr="002E7A01" w:rsidRDefault="00AF0A00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AF0A00" w:rsidRPr="002E7A01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</w:tcPr>
          <w:p w:rsidR="00AF0A00" w:rsidRPr="002E7A01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123FC3">
        <w:trPr>
          <w:trHeight w:val="261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2E7A01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123FC3" w:rsidRPr="002E7A01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850" w:type="dxa"/>
          </w:tcPr>
          <w:p w:rsidR="00123FC3" w:rsidRPr="002E7A01" w:rsidRDefault="00123FC3" w:rsidP="004A23A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123FC3" w:rsidRPr="002E7A01" w:rsidRDefault="00123FC3" w:rsidP="004A23A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123FC3" w:rsidRPr="002E7A01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377,7</w:t>
            </w:r>
          </w:p>
        </w:tc>
        <w:tc>
          <w:tcPr>
            <w:tcW w:w="1134" w:type="dxa"/>
          </w:tcPr>
          <w:p w:rsidR="00123FC3" w:rsidRPr="002E7A01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125"/>
        </w:trPr>
        <w:tc>
          <w:tcPr>
            <w:tcW w:w="817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AF0A00" w:rsidRDefault="00AF0A00" w:rsidP="00A773F7"/>
          <w:p w:rsidR="00AF0A00" w:rsidRPr="00DE39F9" w:rsidRDefault="00AF0A00" w:rsidP="00CC72A6"/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  <w:r w:rsidRPr="00A314A2">
              <w:t xml:space="preserve">Администрация муниципального образования Темрюкский район, </w:t>
            </w:r>
            <w:r w:rsidR="0077650C" w:rsidRPr="0077650C">
              <w:t>отдел информатизации и взаимодействия со СМИ</w:t>
            </w:r>
          </w:p>
        </w:tc>
      </w:tr>
      <w:tr w:rsidR="00AF0A00" w:rsidRPr="008726B9" w:rsidTr="002951DD">
        <w:trPr>
          <w:trHeight w:val="13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17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94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2951DD">
        <w:trPr>
          <w:trHeight w:val="141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0A00" w:rsidRPr="00A314A2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252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AF0A00">
        <w:trPr>
          <w:trHeight w:val="260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A314A2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A314A2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AF0A00" w:rsidRPr="00A314A2" w:rsidRDefault="00AF0A00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AF0A00" w:rsidRPr="00A314A2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A314A2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FC3" w:rsidRPr="008726B9" w:rsidTr="002951DD">
        <w:trPr>
          <w:trHeight w:val="248"/>
        </w:trPr>
        <w:tc>
          <w:tcPr>
            <w:tcW w:w="81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A314A2" w:rsidRDefault="00123FC3" w:rsidP="004A23A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123FC3" w:rsidRPr="00A314A2" w:rsidRDefault="00123FC3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C3" w:rsidRPr="00A314A2" w:rsidRDefault="00123FC3" w:rsidP="004A23A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123FC3" w:rsidRPr="00A314A2" w:rsidRDefault="00123FC3" w:rsidP="004A23A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123FC3" w:rsidRPr="00A314A2" w:rsidRDefault="00123FC3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FC3" w:rsidRPr="00A314A2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97"/>
        </w:trPr>
        <w:tc>
          <w:tcPr>
            <w:tcW w:w="817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63209" w:rsidRPr="002951DD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2951DD">
              <w:rPr>
                <w:rFonts w:ascii="Times New Roman" w:hAnsi="Times New Roman" w:cs="Times New Roman"/>
              </w:rPr>
              <w:t>квадрокоптера</w:t>
            </w:r>
            <w:proofErr w:type="spellEnd"/>
          </w:p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363209" w:rsidRPr="008726B9" w:rsidRDefault="00363209" w:rsidP="00CC72A6">
            <w:pPr>
              <w:widowControl w:val="0"/>
              <w:contextualSpacing/>
              <w:jc w:val="both"/>
            </w:pPr>
            <w:r w:rsidRPr="002951DD">
              <w:t xml:space="preserve">Администрация муниципального образования Темрюкский район, </w:t>
            </w:r>
            <w:r w:rsidR="0077650C" w:rsidRPr="0077650C">
              <w:t>отдел информатизации и взаимодействия со СМИ</w:t>
            </w:r>
          </w:p>
        </w:tc>
      </w:tr>
      <w:tr w:rsidR="00363209" w:rsidRPr="008726B9" w:rsidTr="00F2693D">
        <w:trPr>
          <w:trHeight w:val="33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7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5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AF0A00">
        <w:trPr>
          <w:trHeight w:val="231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Pr="00E62C0C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363209">
        <w:trPr>
          <w:trHeight w:val="115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62C0C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AF0A00" w:rsidRPr="00E62C0C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280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363209" w:rsidRPr="008726B9" w:rsidRDefault="00363209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 w:rsidR="00F358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363209" w:rsidRPr="008726B9" w:rsidRDefault="00363209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77650C">
        <w:trPr>
          <w:trHeight w:val="68"/>
        </w:trPr>
        <w:tc>
          <w:tcPr>
            <w:tcW w:w="817" w:type="dxa"/>
            <w:vMerge w:val="restart"/>
          </w:tcPr>
          <w:p w:rsidR="00363209" w:rsidRPr="008726B9" w:rsidRDefault="00363209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Merge w:val="restart"/>
          </w:tcPr>
          <w:p w:rsidR="00363209" w:rsidRPr="00A773F7" w:rsidRDefault="00363209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363209" w:rsidRDefault="00363209" w:rsidP="00A773F7"/>
          <w:p w:rsidR="00123FC3" w:rsidRDefault="00123FC3" w:rsidP="00A773F7"/>
          <w:p w:rsidR="00123FC3" w:rsidRPr="00A773F7" w:rsidRDefault="00123FC3" w:rsidP="00A773F7"/>
        </w:tc>
        <w:tc>
          <w:tcPr>
            <w:tcW w:w="283" w:type="dxa"/>
            <w:vMerge w:val="restart"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363209" w:rsidRPr="008726B9" w:rsidRDefault="00363209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363209" w:rsidRPr="008726B9" w:rsidRDefault="00363209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F358C0" w:rsidRDefault="00363209" w:rsidP="00CC72A6">
            <w:pPr>
              <w:widowControl w:val="0"/>
              <w:contextualSpacing/>
            </w:pPr>
            <w:r w:rsidRPr="002951DD">
              <w:t xml:space="preserve">Администрация муниципального образования Темрюкский район, </w:t>
            </w:r>
            <w:r w:rsidR="0077650C" w:rsidRPr="0077650C">
              <w:t xml:space="preserve">отдел информатизации и взаимодействия со СМИ </w:t>
            </w:r>
          </w:p>
          <w:p w:rsidR="00363209" w:rsidRDefault="00363209" w:rsidP="00CC72A6">
            <w:pPr>
              <w:widowControl w:val="0"/>
              <w:contextualSpacing/>
            </w:pPr>
          </w:p>
          <w:p w:rsidR="00613DA0" w:rsidRDefault="00613DA0" w:rsidP="00CC72A6">
            <w:pPr>
              <w:widowControl w:val="0"/>
              <w:contextualSpacing/>
            </w:pPr>
          </w:p>
          <w:p w:rsidR="00613DA0" w:rsidRDefault="00613DA0" w:rsidP="00CC72A6">
            <w:pPr>
              <w:widowControl w:val="0"/>
              <w:contextualSpacing/>
            </w:pPr>
          </w:p>
          <w:p w:rsidR="00613DA0" w:rsidRDefault="00613DA0" w:rsidP="00CC72A6">
            <w:pPr>
              <w:widowControl w:val="0"/>
              <w:contextualSpacing/>
            </w:pPr>
          </w:p>
          <w:p w:rsidR="00613DA0" w:rsidRDefault="00613DA0" w:rsidP="00CC72A6">
            <w:pPr>
              <w:widowControl w:val="0"/>
              <w:contextualSpacing/>
            </w:pPr>
          </w:p>
          <w:p w:rsidR="00613DA0" w:rsidRPr="008726B9" w:rsidRDefault="00613DA0" w:rsidP="00CC72A6">
            <w:pPr>
              <w:widowControl w:val="0"/>
              <w:contextualSpacing/>
            </w:pPr>
          </w:p>
        </w:tc>
      </w:tr>
      <w:tr w:rsidR="00363209" w:rsidRPr="008726B9" w:rsidTr="002951DD">
        <w:trPr>
          <w:trHeight w:val="125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94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363209" w:rsidRPr="008726B9" w:rsidRDefault="00F358C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F358C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78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3209" w:rsidRPr="008726B9" w:rsidTr="002951DD">
        <w:trPr>
          <w:trHeight w:val="156"/>
        </w:trPr>
        <w:tc>
          <w:tcPr>
            <w:tcW w:w="81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3209" w:rsidRPr="008726B9" w:rsidRDefault="00363209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363209" w:rsidRDefault="00363209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63209" w:rsidRPr="008726B9" w:rsidRDefault="00363209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363209" w:rsidRPr="008726B9" w:rsidRDefault="00363209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63209" w:rsidRPr="008726B9" w:rsidRDefault="00363209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AF0A00">
        <w:trPr>
          <w:trHeight w:val="274"/>
        </w:trPr>
        <w:tc>
          <w:tcPr>
            <w:tcW w:w="81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0A00" w:rsidRPr="008726B9" w:rsidTr="00123FC3">
        <w:trPr>
          <w:trHeight w:val="68"/>
        </w:trPr>
        <w:tc>
          <w:tcPr>
            <w:tcW w:w="81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F451CA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AF0A00" w:rsidRPr="00F451CA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693D" w:rsidRPr="008726B9" w:rsidTr="002951DD">
        <w:trPr>
          <w:trHeight w:val="36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693D" w:rsidRPr="008726B9" w:rsidRDefault="00F2693D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F2693D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850" w:type="dxa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F2693D" w:rsidRDefault="00F2693D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F2693D" w:rsidRPr="008726B9" w:rsidRDefault="00F358C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1134" w:type="dxa"/>
          </w:tcPr>
          <w:p w:rsidR="00F2693D" w:rsidRPr="008726B9" w:rsidRDefault="00F2693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2693D" w:rsidRPr="008726B9" w:rsidRDefault="00F2693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A51D3" w:rsidRPr="008726B9" w:rsidTr="002951DD">
        <w:trPr>
          <w:trHeight w:val="291"/>
        </w:trPr>
        <w:tc>
          <w:tcPr>
            <w:tcW w:w="817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A51D3" w:rsidRPr="008726B9" w:rsidRDefault="007A51D3" w:rsidP="007A51D3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51D3" w:rsidRPr="00F451CA" w:rsidRDefault="007A51D3" w:rsidP="007A51D3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7A51D3" w:rsidRPr="00F451CA" w:rsidRDefault="007A51D3" w:rsidP="007A51D3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A51D3" w:rsidRPr="008726B9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1D3" w:rsidRDefault="007A51D3" w:rsidP="007A51D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D3" w:rsidRPr="008726B9" w:rsidRDefault="007A51D3" w:rsidP="007A51D3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123FC3" w:rsidRPr="008726B9" w:rsidTr="008956B0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123FC3" w:rsidRPr="008726B9" w:rsidRDefault="00123FC3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</w:tcPr>
          <w:p w:rsidR="00123FC3" w:rsidRPr="00E62C0C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Pr="00E62C0C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3350,4</w:t>
            </w:r>
          </w:p>
        </w:tc>
        <w:tc>
          <w:tcPr>
            <w:tcW w:w="850" w:type="dxa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F358C0">
        <w:trPr>
          <w:trHeight w:val="27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Default="00123FC3" w:rsidP="00F2693D">
            <w:pPr>
              <w:jc w:val="center"/>
            </w:pPr>
            <w:r>
              <w:t>2212,9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Default="00123FC3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Default="00123FC3" w:rsidP="004A23A7">
            <w:pPr>
              <w:jc w:val="center"/>
            </w:pPr>
            <w:r>
              <w:t>2212,9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AF0A00">
        <w:trPr>
          <w:trHeight w:val="13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Default="00123FC3" w:rsidP="00F2693D">
            <w:pPr>
              <w:jc w:val="center"/>
            </w:pPr>
            <w:r>
              <w:t>2212,9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Default="00123FC3" w:rsidP="004A23A7">
            <w:pPr>
              <w:jc w:val="center"/>
            </w:pPr>
            <w:r>
              <w:t>2212,9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8956B0">
        <w:trPr>
          <w:trHeight w:val="13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Pr="00901BDA" w:rsidRDefault="00123FC3" w:rsidP="00F2693D">
            <w:pPr>
              <w:jc w:val="center"/>
            </w:pPr>
            <w:r>
              <w:t>2212,9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Pr="00F451CA" w:rsidRDefault="00123FC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Pr="00F451CA" w:rsidRDefault="00123FC3" w:rsidP="00123FC3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Pr="00901BDA" w:rsidRDefault="00123FC3" w:rsidP="004A23A7">
            <w:pPr>
              <w:jc w:val="center"/>
            </w:pPr>
            <w:r>
              <w:t>2212,9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123FC3" w:rsidRPr="008726B9" w:rsidTr="002951DD">
        <w:trPr>
          <w:trHeight w:val="23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FC3" w:rsidRDefault="00123FC3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23FC3" w:rsidRPr="008726B9" w:rsidRDefault="00123FC3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17757,2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3FC3" w:rsidRDefault="00123FC3" w:rsidP="008956B0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3FC3" w:rsidRPr="008726B9" w:rsidRDefault="00123FC3" w:rsidP="004A23A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17757,2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widowControl w:val="0"/>
              <w:contextualSpacing/>
            </w:pPr>
          </w:p>
        </w:tc>
      </w:tr>
      <w:tr w:rsidR="002951DD" w:rsidRPr="008726B9" w:rsidTr="002951DD">
        <w:trPr>
          <w:trHeight w:val="12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5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04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13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553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2951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77650C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CF2EB3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F358C0">
        <w:rPr>
          <w:bCs/>
          <w:sz w:val="28"/>
          <w:szCs w:val="28"/>
        </w:rPr>
        <w:t>от 19.12.2018 № 1763</w:t>
      </w:r>
      <w:r w:rsidR="00123FC3">
        <w:rPr>
          <w:bCs/>
          <w:sz w:val="28"/>
          <w:szCs w:val="28"/>
        </w:rPr>
        <w:t>; от 22.10.2019 № 1916)</w:t>
      </w:r>
      <w:r w:rsidR="00EA28BD" w:rsidRPr="008E5D78">
        <w:rPr>
          <w:bCs/>
          <w:sz w:val="28"/>
          <w:szCs w:val="28"/>
        </w:rPr>
        <w:t>)</w:t>
      </w:r>
      <w:proofErr w:type="gramEnd"/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Pr="008726B9" w:rsidRDefault="00123FC3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  <w:tr w:rsidR="00123FC3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  <w:tr w:rsidR="00123FC3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6B0BC1" w:rsidRDefault="00123FC3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6B0BC1" w:rsidRDefault="00123FC3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Pr="006B0BC1" w:rsidRDefault="00123FC3" w:rsidP="008956B0">
            <w:pPr>
              <w:jc w:val="center"/>
            </w:pPr>
            <w:r>
              <w:t>0,0</w:t>
            </w:r>
          </w:p>
        </w:tc>
      </w:tr>
      <w:tr w:rsidR="00123FC3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2212,9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>
              <w:t>0,0</w:t>
            </w:r>
          </w:p>
        </w:tc>
      </w:tr>
      <w:tr w:rsidR="00123FC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C3" w:rsidRPr="008726B9" w:rsidRDefault="00123FC3" w:rsidP="004A23A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17757,2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C3" w:rsidRDefault="00123FC3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CF2EB3">
      <w:pPr>
        <w:tabs>
          <w:tab w:val="left" w:pos="-14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 xml:space="preserve">№ 557; от 24.08.2016 № 696; от 16.09.2016 № 770; </w:t>
      </w:r>
      <w:proofErr w:type="gramStart"/>
      <w:r w:rsidRPr="008E5D78">
        <w:rPr>
          <w:bCs/>
          <w:sz w:val="28"/>
          <w:szCs w:val="28"/>
        </w:rPr>
        <w:t>от</w:t>
      </w:r>
      <w:proofErr w:type="gramEnd"/>
      <w:r w:rsidRPr="008E5D78">
        <w:rPr>
          <w:bCs/>
          <w:sz w:val="28"/>
          <w:szCs w:val="28"/>
        </w:rPr>
        <w:t xml:space="preserve">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="00123FC3">
        <w:rPr>
          <w:bCs/>
          <w:sz w:val="28"/>
          <w:szCs w:val="28"/>
        </w:rPr>
        <w:t>; от 22.10.2019 № 1916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</w:t>
      </w:r>
      <w:r>
        <w:rPr>
          <w:sz w:val="28"/>
          <w:szCs w:val="28"/>
        </w:rPr>
        <w:lastRenderedPageBreak/>
        <w:t>реализации и оценке эффективности реализации муниципальных программ муниципального образования Темрюкский район</w:t>
      </w:r>
      <w:r w:rsidR="00123FC3">
        <w:rPr>
          <w:sz w:val="28"/>
          <w:szCs w:val="28"/>
        </w:rPr>
        <w:t>» (далее – Порядок)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</w:t>
      </w:r>
      <w:proofErr w:type="gramStart"/>
      <w:r w:rsidR="00D74903">
        <w:rPr>
          <w:b/>
          <w:sz w:val="28"/>
          <w:szCs w:val="28"/>
        </w:rPr>
        <w:t>контроль за</w:t>
      </w:r>
      <w:proofErr w:type="gramEnd"/>
      <w:r w:rsidR="00D74903">
        <w:rPr>
          <w:b/>
          <w:sz w:val="28"/>
          <w:szCs w:val="28"/>
        </w:rPr>
        <w:t xml:space="preserve">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CC72A6">
        <w:rPr>
          <w:sz w:val="28"/>
          <w:szCs w:val="28"/>
        </w:rPr>
        <w:t>контроля за</w:t>
      </w:r>
      <w:proofErr w:type="gramEnd"/>
      <w:r w:rsidRPr="00CC72A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36118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Заместитель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123FC3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Никиташ</w:t>
      </w:r>
      <w:proofErr w:type="spellEnd"/>
    </w:p>
    <w:sectPr w:rsidR="00361187" w:rsidRPr="00900C39" w:rsidSect="00123FC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0" w:rsidRDefault="008956B0" w:rsidP="00E73081">
      <w:r>
        <w:separator/>
      </w:r>
    </w:p>
  </w:endnote>
  <w:endnote w:type="continuationSeparator" w:id="0">
    <w:p w:rsidR="008956B0" w:rsidRDefault="008956B0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0" w:rsidRDefault="008956B0" w:rsidP="00E73081">
      <w:r>
        <w:separator/>
      </w:r>
    </w:p>
  </w:footnote>
  <w:footnote w:type="continuationSeparator" w:id="0">
    <w:p w:rsidR="008956B0" w:rsidRDefault="008956B0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8956B0" w:rsidRDefault="008956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6B0" w:rsidRDefault="00895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296D"/>
    <w:rsid w:val="00020754"/>
    <w:rsid w:val="000225E0"/>
    <w:rsid w:val="00030EBE"/>
    <w:rsid w:val="0004370B"/>
    <w:rsid w:val="00050575"/>
    <w:rsid w:val="00054322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E02B3"/>
    <w:rsid w:val="000E0DBB"/>
    <w:rsid w:val="000F01A3"/>
    <w:rsid w:val="00105E61"/>
    <w:rsid w:val="001067A2"/>
    <w:rsid w:val="00114DD0"/>
    <w:rsid w:val="00123FC3"/>
    <w:rsid w:val="0012476B"/>
    <w:rsid w:val="00132F20"/>
    <w:rsid w:val="00134889"/>
    <w:rsid w:val="001454C3"/>
    <w:rsid w:val="00153BAD"/>
    <w:rsid w:val="0015592E"/>
    <w:rsid w:val="00160AF3"/>
    <w:rsid w:val="00167F3C"/>
    <w:rsid w:val="0017527D"/>
    <w:rsid w:val="0019093C"/>
    <w:rsid w:val="00192D86"/>
    <w:rsid w:val="001A67F2"/>
    <w:rsid w:val="001B01EE"/>
    <w:rsid w:val="001B24B8"/>
    <w:rsid w:val="001E5E08"/>
    <w:rsid w:val="001F5367"/>
    <w:rsid w:val="00212894"/>
    <w:rsid w:val="00234727"/>
    <w:rsid w:val="00234CA0"/>
    <w:rsid w:val="00237EB2"/>
    <w:rsid w:val="0024019A"/>
    <w:rsid w:val="002442DE"/>
    <w:rsid w:val="00251CC0"/>
    <w:rsid w:val="002566CB"/>
    <w:rsid w:val="0027193E"/>
    <w:rsid w:val="002720A6"/>
    <w:rsid w:val="00280291"/>
    <w:rsid w:val="00282A9D"/>
    <w:rsid w:val="00292AB3"/>
    <w:rsid w:val="00293738"/>
    <w:rsid w:val="00293922"/>
    <w:rsid w:val="002951DD"/>
    <w:rsid w:val="002B597D"/>
    <w:rsid w:val="002C29AF"/>
    <w:rsid w:val="002C4E96"/>
    <w:rsid w:val="002D6567"/>
    <w:rsid w:val="002E1F61"/>
    <w:rsid w:val="002E2634"/>
    <w:rsid w:val="002E4A1D"/>
    <w:rsid w:val="002E77B0"/>
    <w:rsid w:val="002E7A01"/>
    <w:rsid w:val="0030605C"/>
    <w:rsid w:val="003242D9"/>
    <w:rsid w:val="0033106A"/>
    <w:rsid w:val="00334A86"/>
    <w:rsid w:val="003415F8"/>
    <w:rsid w:val="00343538"/>
    <w:rsid w:val="00352215"/>
    <w:rsid w:val="003532D3"/>
    <w:rsid w:val="00361187"/>
    <w:rsid w:val="00363209"/>
    <w:rsid w:val="0038119D"/>
    <w:rsid w:val="0039396C"/>
    <w:rsid w:val="003A1CE9"/>
    <w:rsid w:val="003B750A"/>
    <w:rsid w:val="003C09BF"/>
    <w:rsid w:val="003C2EF5"/>
    <w:rsid w:val="003C3339"/>
    <w:rsid w:val="003C56DD"/>
    <w:rsid w:val="003C68F9"/>
    <w:rsid w:val="003C742C"/>
    <w:rsid w:val="003D4BF5"/>
    <w:rsid w:val="003F636E"/>
    <w:rsid w:val="003F7436"/>
    <w:rsid w:val="00402E57"/>
    <w:rsid w:val="00410707"/>
    <w:rsid w:val="00415925"/>
    <w:rsid w:val="00415B41"/>
    <w:rsid w:val="00431F61"/>
    <w:rsid w:val="00435440"/>
    <w:rsid w:val="004410A9"/>
    <w:rsid w:val="00442105"/>
    <w:rsid w:val="00451FF3"/>
    <w:rsid w:val="004718CF"/>
    <w:rsid w:val="00477BEC"/>
    <w:rsid w:val="0048696A"/>
    <w:rsid w:val="00491232"/>
    <w:rsid w:val="004925C4"/>
    <w:rsid w:val="004934E8"/>
    <w:rsid w:val="00494FE6"/>
    <w:rsid w:val="004A4884"/>
    <w:rsid w:val="004A53A3"/>
    <w:rsid w:val="004B29D4"/>
    <w:rsid w:val="004F032B"/>
    <w:rsid w:val="004F1364"/>
    <w:rsid w:val="004F3F79"/>
    <w:rsid w:val="00506D7F"/>
    <w:rsid w:val="005143B5"/>
    <w:rsid w:val="00524FC1"/>
    <w:rsid w:val="0053565D"/>
    <w:rsid w:val="00575611"/>
    <w:rsid w:val="00581CF3"/>
    <w:rsid w:val="00584D25"/>
    <w:rsid w:val="005B1158"/>
    <w:rsid w:val="005C35BA"/>
    <w:rsid w:val="005C72BF"/>
    <w:rsid w:val="005C7825"/>
    <w:rsid w:val="005E3675"/>
    <w:rsid w:val="005E3DD7"/>
    <w:rsid w:val="005F3663"/>
    <w:rsid w:val="005F6752"/>
    <w:rsid w:val="00611385"/>
    <w:rsid w:val="00611C7E"/>
    <w:rsid w:val="00612777"/>
    <w:rsid w:val="00612AC6"/>
    <w:rsid w:val="00613DA0"/>
    <w:rsid w:val="00615CD9"/>
    <w:rsid w:val="00626CF1"/>
    <w:rsid w:val="006406E2"/>
    <w:rsid w:val="00651470"/>
    <w:rsid w:val="00661DBD"/>
    <w:rsid w:val="0066784D"/>
    <w:rsid w:val="00675F1A"/>
    <w:rsid w:val="00680235"/>
    <w:rsid w:val="00695FE4"/>
    <w:rsid w:val="006A728B"/>
    <w:rsid w:val="006B6E5C"/>
    <w:rsid w:val="006D06A7"/>
    <w:rsid w:val="006D1E6A"/>
    <w:rsid w:val="006E028C"/>
    <w:rsid w:val="00701A82"/>
    <w:rsid w:val="00702A50"/>
    <w:rsid w:val="00704D78"/>
    <w:rsid w:val="007125F4"/>
    <w:rsid w:val="00713DE4"/>
    <w:rsid w:val="007164EB"/>
    <w:rsid w:val="007672A2"/>
    <w:rsid w:val="00770714"/>
    <w:rsid w:val="007745DA"/>
    <w:rsid w:val="0077650C"/>
    <w:rsid w:val="007814D7"/>
    <w:rsid w:val="007817EC"/>
    <w:rsid w:val="007906C8"/>
    <w:rsid w:val="00791C44"/>
    <w:rsid w:val="0079491B"/>
    <w:rsid w:val="007A51D3"/>
    <w:rsid w:val="007A78A6"/>
    <w:rsid w:val="007D63FA"/>
    <w:rsid w:val="007F1844"/>
    <w:rsid w:val="007F29E4"/>
    <w:rsid w:val="00807C44"/>
    <w:rsid w:val="00810C53"/>
    <w:rsid w:val="008423E6"/>
    <w:rsid w:val="008513CE"/>
    <w:rsid w:val="00852796"/>
    <w:rsid w:val="008608C1"/>
    <w:rsid w:val="00864265"/>
    <w:rsid w:val="00872F2A"/>
    <w:rsid w:val="008779DB"/>
    <w:rsid w:val="00883145"/>
    <w:rsid w:val="00885E9F"/>
    <w:rsid w:val="00887C68"/>
    <w:rsid w:val="008956B0"/>
    <w:rsid w:val="008B1519"/>
    <w:rsid w:val="008B3872"/>
    <w:rsid w:val="008B3A82"/>
    <w:rsid w:val="008C22BD"/>
    <w:rsid w:val="008C78AA"/>
    <w:rsid w:val="008E5B55"/>
    <w:rsid w:val="008E5D78"/>
    <w:rsid w:val="00900C39"/>
    <w:rsid w:val="00910E8D"/>
    <w:rsid w:val="009149AD"/>
    <w:rsid w:val="00923AA1"/>
    <w:rsid w:val="00924F8B"/>
    <w:rsid w:val="00925BC9"/>
    <w:rsid w:val="00937EF1"/>
    <w:rsid w:val="00945A5A"/>
    <w:rsid w:val="00960A1C"/>
    <w:rsid w:val="0096658B"/>
    <w:rsid w:val="00980F48"/>
    <w:rsid w:val="0098414D"/>
    <w:rsid w:val="00992CE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73F7"/>
    <w:rsid w:val="00A80D75"/>
    <w:rsid w:val="00A81D68"/>
    <w:rsid w:val="00A93B0B"/>
    <w:rsid w:val="00AA6D18"/>
    <w:rsid w:val="00AB3C7A"/>
    <w:rsid w:val="00AD66DE"/>
    <w:rsid w:val="00AE6EDF"/>
    <w:rsid w:val="00AF0A00"/>
    <w:rsid w:val="00AF296B"/>
    <w:rsid w:val="00AF3FF9"/>
    <w:rsid w:val="00B14A9A"/>
    <w:rsid w:val="00B2267C"/>
    <w:rsid w:val="00B22E31"/>
    <w:rsid w:val="00B37445"/>
    <w:rsid w:val="00B53CFC"/>
    <w:rsid w:val="00B620CF"/>
    <w:rsid w:val="00B65280"/>
    <w:rsid w:val="00B9268B"/>
    <w:rsid w:val="00B932A0"/>
    <w:rsid w:val="00B94C3A"/>
    <w:rsid w:val="00BA16DE"/>
    <w:rsid w:val="00BA18E9"/>
    <w:rsid w:val="00BA1DD1"/>
    <w:rsid w:val="00BB0D86"/>
    <w:rsid w:val="00BC091D"/>
    <w:rsid w:val="00BE69D8"/>
    <w:rsid w:val="00BF7013"/>
    <w:rsid w:val="00C14BA5"/>
    <w:rsid w:val="00C16939"/>
    <w:rsid w:val="00C25535"/>
    <w:rsid w:val="00C31010"/>
    <w:rsid w:val="00C37EDB"/>
    <w:rsid w:val="00C40D73"/>
    <w:rsid w:val="00C435DA"/>
    <w:rsid w:val="00C45CFF"/>
    <w:rsid w:val="00C46CED"/>
    <w:rsid w:val="00C53B5B"/>
    <w:rsid w:val="00C57BD8"/>
    <w:rsid w:val="00C57D34"/>
    <w:rsid w:val="00C609FA"/>
    <w:rsid w:val="00C76BE5"/>
    <w:rsid w:val="00C8660C"/>
    <w:rsid w:val="00C90E78"/>
    <w:rsid w:val="00C91611"/>
    <w:rsid w:val="00CC43AF"/>
    <w:rsid w:val="00CC4503"/>
    <w:rsid w:val="00CC72A6"/>
    <w:rsid w:val="00CF0A06"/>
    <w:rsid w:val="00CF2EB3"/>
    <w:rsid w:val="00D20633"/>
    <w:rsid w:val="00D24ABB"/>
    <w:rsid w:val="00D34D5B"/>
    <w:rsid w:val="00D40C13"/>
    <w:rsid w:val="00D4637A"/>
    <w:rsid w:val="00D46C1A"/>
    <w:rsid w:val="00D5197D"/>
    <w:rsid w:val="00D61170"/>
    <w:rsid w:val="00D6347B"/>
    <w:rsid w:val="00D7092C"/>
    <w:rsid w:val="00D74903"/>
    <w:rsid w:val="00D75E9F"/>
    <w:rsid w:val="00D95B87"/>
    <w:rsid w:val="00DA24E4"/>
    <w:rsid w:val="00DC634D"/>
    <w:rsid w:val="00DD1056"/>
    <w:rsid w:val="00DE7FFC"/>
    <w:rsid w:val="00E04AF3"/>
    <w:rsid w:val="00E20724"/>
    <w:rsid w:val="00E24E8E"/>
    <w:rsid w:val="00E264A7"/>
    <w:rsid w:val="00E31063"/>
    <w:rsid w:val="00E32A49"/>
    <w:rsid w:val="00E436F5"/>
    <w:rsid w:val="00E542FA"/>
    <w:rsid w:val="00E54B9F"/>
    <w:rsid w:val="00E67EAA"/>
    <w:rsid w:val="00E71FEB"/>
    <w:rsid w:val="00E73081"/>
    <w:rsid w:val="00E75A2B"/>
    <w:rsid w:val="00E96280"/>
    <w:rsid w:val="00E96E01"/>
    <w:rsid w:val="00EA28BD"/>
    <w:rsid w:val="00EA6535"/>
    <w:rsid w:val="00ED379C"/>
    <w:rsid w:val="00ED398F"/>
    <w:rsid w:val="00ED4305"/>
    <w:rsid w:val="00F110B9"/>
    <w:rsid w:val="00F25399"/>
    <w:rsid w:val="00F2693D"/>
    <w:rsid w:val="00F30C7E"/>
    <w:rsid w:val="00F33907"/>
    <w:rsid w:val="00F358C0"/>
    <w:rsid w:val="00F50CD2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46E4"/>
    <w:rsid w:val="00FA6D1F"/>
    <w:rsid w:val="00FB1A56"/>
    <w:rsid w:val="00FB3E43"/>
    <w:rsid w:val="00FB4090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E900-481A-45BC-9A6D-C27B325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5</cp:revision>
  <cp:lastPrinted>2018-07-02T07:38:00Z</cp:lastPrinted>
  <dcterms:created xsi:type="dcterms:W3CDTF">2020-02-10T08:02:00Z</dcterms:created>
  <dcterms:modified xsi:type="dcterms:W3CDTF">2020-02-10T08:05:00Z</dcterms:modified>
</cp:coreProperties>
</file>