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7A6F69">
        <w:rPr>
          <w:rFonts w:ascii="Times New Roman" w:hAnsi="Times New Roman"/>
          <w:bCs/>
          <w:sz w:val="28"/>
          <w:szCs w:val="28"/>
        </w:rPr>
        <w:t>1</w:t>
      </w:r>
      <w:r w:rsidR="0008614C">
        <w:rPr>
          <w:rFonts w:ascii="Times New Roman" w:hAnsi="Times New Roman"/>
          <w:bCs/>
          <w:sz w:val="28"/>
          <w:szCs w:val="28"/>
        </w:rPr>
        <w:t>7 декаб</w:t>
      </w:r>
      <w:r w:rsidR="007A6F69">
        <w:rPr>
          <w:rFonts w:ascii="Times New Roman" w:hAnsi="Times New Roman"/>
          <w:bCs/>
          <w:sz w:val="28"/>
          <w:szCs w:val="28"/>
        </w:rPr>
        <w:t>ря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7A6F69">
        <w:rPr>
          <w:rFonts w:ascii="Times New Roman" w:hAnsi="Times New Roman"/>
          <w:bCs/>
          <w:sz w:val="28"/>
          <w:szCs w:val="28"/>
        </w:rPr>
        <w:t>2</w:t>
      </w:r>
      <w:r w:rsidR="0008614C">
        <w:rPr>
          <w:rFonts w:ascii="Times New Roman" w:hAnsi="Times New Roman"/>
          <w:bCs/>
          <w:sz w:val="28"/>
          <w:szCs w:val="28"/>
        </w:rPr>
        <w:t>22</w:t>
      </w:r>
      <w:bookmarkStart w:id="0" w:name="_GoBack"/>
      <w:bookmarkEnd w:id="0"/>
      <w:r w:rsidR="007A6F69">
        <w:rPr>
          <w:rFonts w:ascii="Times New Roman" w:hAnsi="Times New Roman"/>
          <w:bCs/>
          <w:sz w:val="28"/>
          <w:szCs w:val="28"/>
        </w:rPr>
        <w:t>2</w:t>
      </w:r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Pr="008D6D05" w:rsidRDefault="00892E81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</w:t>
            </w:r>
            <w:r w:rsidRPr="00892E81">
              <w:rPr>
                <w:rFonts w:ascii="Times New Roman" w:hAnsi="Times New Roman"/>
                <w:bCs/>
                <w:sz w:val="28"/>
                <w:szCs w:val="28"/>
              </w:rPr>
              <w:t>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92E81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color w:val="FF0000"/>
                <w:sz w:val="28"/>
                <w:szCs w:val="28"/>
              </w:rPr>
              <w:t xml:space="preserve">10735680,2 </w:t>
            </w:r>
            <w:r w:rsidRPr="004C2045">
              <w:rPr>
                <w:bCs/>
                <w:sz w:val="28"/>
                <w:szCs w:val="28"/>
              </w:rPr>
              <w:t>тысяч рублей, в том числе по годам:</w:t>
            </w:r>
          </w:p>
          <w:p w:rsidR="005D0D20" w:rsidRPr="004C2045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5D0D20" w:rsidRPr="004C2045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5D0D20" w:rsidRPr="004C2045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5D0D20" w:rsidRPr="004C2045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1533427,1</w:t>
            </w:r>
            <w:r w:rsidRPr="004C2045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1621928,2</w:t>
            </w:r>
            <w:r w:rsidRPr="004C2045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2021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1573673,9</w:t>
            </w:r>
            <w:r w:rsidRPr="004C2045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- </w:t>
            </w:r>
            <w:r>
              <w:rPr>
                <w:bCs/>
                <w:color w:val="FF0000"/>
                <w:sz w:val="28"/>
                <w:szCs w:val="28"/>
              </w:rPr>
              <w:t>1580377,3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из средств местного бюджета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3992985,4</w:t>
            </w:r>
            <w:r w:rsidRPr="004C2045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576465,3</w:t>
            </w:r>
            <w:r w:rsidRPr="004C2045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633656,1</w:t>
            </w:r>
            <w:r w:rsidRPr="004C2045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2021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 w:rsidRPr="00C22A83">
              <w:rPr>
                <w:bCs/>
                <w:color w:val="FF0000"/>
                <w:sz w:val="28"/>
                <w:szCs w:val="28"/>
              </w:rPr>
              <w:t>602775,6</w:t>
            </w:r>
            <w:r w:rsidRPr="004C2045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- </w:t>
            </w:r>
            <w:r>
              <w:rPr>
                <w:bCs/>
                <w:color w:val="FF0000"/>
                <w:sz w:val="28"/>
                <w:szCs w:val="28"/>
              </w:rPr>
              <w:t>606386,7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>
              <w:rPr>
                <w:bCs/>
                <w:color w:val="FF0000"/>
                <w:sz w:val="28"/>
                <w:szCs w:val="28"/>
              </w:rPr>
              <w:t>6722827,6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тысяч </w:t>
            </w:r>
            <w:r w:rsidRPr="004C2045">
              <w:rPr>
                <w:bCs/>
                <w:sz w:val="28"/>
                <w:szCs w:val="28"/>
              </w:rPr>
              <w:t>рублей, в том числе по годам: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5D0D20" w:rsidRPr="00E169E1" w:rsidRDefault="005D0D20" w:rsidP="005D0D20">
            <w:pPr>
              <w:pStyle w:val="WW-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952350,3</w:t>
            </w:r>
            <w:r w:rsidRPr="00E169E1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E169E1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169E1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-</w:t>
            </w:r>
            <w:r w:rsidRPr="00E169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987199,7</w:t>
            </w:r>
            <w:r w:rsidRPr="00E169E1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E169E1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169E1">
              <w:rPr>
                <w:bCs/>
                <w:sz w:val="28"/>
                <w:szCs w:val="28"/>
              </w:rPr>
              <w:t xml:space="preserve">2021 год </w:t>
            </w:r>
            <w:r>
              <w:rPr>
                <w:bCs/>
                <w:sz w:val="28"/>
                <w:szCs w:val="28"/>
              </w:rPr>
              <w:t>-</w:t>
            </w:r>
            <w:r w:rsidRPr="00E169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966570,6</w:t>
            </w:r>
            <w:r w:rsidRPr="00E169E1"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169E1">
              <w:rPr>
                <w:bCs/>
                <w:sz w:val="28"/>
                <w:szCs w:val="28"/>
              </w:rPr>
              <w:t xml:space="preserve">2022 год </w:t>
            </w:r>
            <w:r>
              <w:rPr>
                <w:bCs/>
                <w:sz w:val="28"/>
                <w:szCs w:val="28"/>
              </w:rPr>
              <w:t>-</w:t>
            </w:r>
            <w:r w:rsidRPr="00E169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969668,2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 xml:space="preserve">из средств федерального бюджета </w:t>
            </w:r>
            <w:r>
              <w:rPr>
                <w:bCs/>
                <w:sz w:val="28"/>
                <w:szCs w:val="28"/>
              </w:rPr>
              <w:t>-</w:t>
            </w:r>
            <w:r w:rsidRPr="004C2045">
              <w:rPr>
                <w:bCs/>
                <w:sz w:val="28"/>
                <w:szCs w:val="28"/>
              </w:rPr>
              <w:t xml:space="preserve"> </w:t>
            </w:r>
            <w:r w:rsidRPr="007506BF">
              <w:rPr>
                <w:bCs/>
                <w:color w:val="FF0000"/>
                <w:sz w:val="28"/>
                <w:szCs w:val="28"/>
              </w:rPr>
              <w:t>19867,2</w:t>
            </w:r>
            <w:r w:rsidRPr="004C2045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2016 год - 4078,1 тысяч рублей;</w:t>
            </w:r>
          </w:p>
          <w:p w:rsidR="005D0D20" w:rsidRPr="004C2045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2017 год - 1455,1 тысяч рублей;</w:t>
            </w:r>
          </w:p>
          <w:p w:rsidR="005D0D20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C2045">
              <w:rPr>
                <w:bCs/>
                <w:sz w:val="28"/>
                <w:szCs w:val="28"/>
              </w:rPr>
              <w:t>2019 год - 4611,5 тысяч рублей;</w:t>
            </w:r>
          </w:p>
          <w:p w:rsidR="005D0D20" w:rsidRDefault="005D0D20" w:rsidP="005D0D2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506BF">
              <w:rPr>
                <w:bCs/>
                <w:color w:val="FF0000"/>
                <w:sz w:val="28"/>
                <w:szCs w:val="28"/>
              </w:rPr>
              <w:t>2020 год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506BF">
              <w:rPr>
                <w:bCs/>
                <w:color w:val="FF0000"/>
                <w:sz w:val="28"/>
                <w:szCs w:val="28"/>
              </w:rPr>
              <w:t>-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506BF">
              <w:rPr>
                <w:bCs/>
                <w:color w:val="FF0000"/>
                <w:sz w:val="28"/>
                <w:szCs w:val="28"/>
              </w:rPr>
              <w:t>1072,4 тысяч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5D0D20" w:rsidRDefault="005D0D20" w:rsidP="005D0D20">
            <w:pPr>
              <w:pStyle w:val="WW-"/>
              <w:jc w:val="both"/>
              <w:rPr>
                <w:bCs/>
                <w:color w:val="FF0000"/>
                <w:sz w:val="28"/>
                <w:szCs w:val="28"/>
              </w:rPr>
            </w:pPr>
            <w:r w:rsidRPr="007506BF">
              <w:rPr>
                <w:bCs/>
                <w:color w:val="FF0000"/>
                <w:sz w:val="28"/>
                <w:szCs w:val="28"/>
              </w:rPr>
              <w:t>2021 год</w:t>
            </w:r>
            <w:r>
              <w:rPr>
                <w:bCs/>
                <w:color w:val="FF0000"/>
                <w:sz w:val="28"/>
                <w:szCs w:val="28"/>
              </w:rPr>
              <w:t xml:space="preserve"> - </w:t>
            </w:r>
            <w:r w:rsidRPr="007506BF">
              <w:rPr>
                <w:bCs/>
                <w:color w:val="FF0000"/>
                <w:sz w:val="28"/>
                <w:szCs w:val="28"/>
              </w:rPr>
              <w:t>4327,7 тысяч рублей;</w:t>
            </w:r>
          </w:p>
          <w:p w:rsidR="00C94961" w:rsidRPr="00D35FA6" w:rsidRDefault="005D0D20" w:rsidP="005D0D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2022 год - 4322,4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5D0D2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45675" w:rsidRPr="00E45675" w:rsidRDefault="00E45675" w:rsidP="00E45675">
            <w:pPr>
              <w:rPr>
                <w:lang w:eastAsia="en-US"/>
              </w:rPr>
            </w:pPr>
          </w:p>
        </w:tc>
      </w:tr>
    </w:tbl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5D0D20" w:rsidRDefault="00E45675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D20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2019 году охват составил 76,8 процентов.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Вместе с тем в отдельных школах района уровень качества знаний уступает </w:t>
      </w:r>
      <w:proofErr w:type="spellStart"/>
      <w:r>
        <w:rPr>
          <w:rFonts w:ascii="Times New Roman" w:hAnsi="Times New Roman"/>
          <w:sz w:val="28"/>
          <w:szCs w:val="28"/>
        </w:rPr>
        <w:t>среднекраевому</w:t>
      </w:r>
      <w:proofErr w:type="spellEnd"/>
      <w:r>
        <w:rPr>
          <w:rFonts w:ascii="Times New Roman" w:hAnsi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5D0D20" w:rsidRDefault="005D0D20" w:rsidP="0008614C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86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- 34,6 процента. В большей степени это обусловлено следствием «демографического спада» и, </w:t>
      </w:r>
      <w:proofErr w:type="gramStart"/>
      <w:r>
        <w:rPr>
          <w:rFonts w:ascii="Times New Roman" w:hAnsi="Times New Roman"/>
          <w:sz w:val="28"/>
          <w:szCs w:val="28"/>
        </w:rPr>
        <w:t>следовательно,  небольшим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количеством классов-комплектов в старшей школе.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>
        <w:rPr>
          <w:rFonts w:ascii="Times New Roman" w:hAnsi="Times New Roman"/>
          <w:sz w:val="28"/>
          <w:szCs w:val="28"/>
        </w:rPr>
        <w:t>общекраевой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2019 году по указанному стандарту обучаются учащиеся 1-4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Услугами дополнительного образования в настоящее время пользуются 69,1 процентов детей района в возрасте от 5 до18 лет. Планируется увеличивать этот показатель до 75 процента в 2022 году.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5D0D20" w:rsidRDefault="005D0D20" w:rsidP="005D0D20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5D0D20" w:rsidRPr="0087034B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</w:t>
      </w:r>
      <w:r w:rsidRPr="0087034B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школ по итогам 1 полугодия 2019 года составила 30966 (в 1 квартале - 30454) </w:t>
      </w:r>
      <w:proofErr w:type="gramStart"/>
      <w:r w:rsidRPr="0087034B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87034B">
        <w:rPr>
          <w:rFonts w:ascii="Times New Roman" w:hAnsi="Times New Roman"/>
          <w:sz w:val="28"/>
          <w:szCs w:val="28"/>
        </w:rPr>
        <w:t xml:space="preserve"> том числе у учителей выросла с  30704  до  31241 рубл</w:t>
      </w:r>
      <w:r>
        <w:rPr>
          <w:rFonts w:ascii="Times New Roman" w:hAnsi="Times New Roman"/>
          <w:sz w:val="28"/>
          <w:szCs w:val="28"/>
        </w:rPr>
        <w:t>я</w:t>
      </w:r>
      <w:r w:rsidRPr="0087034B">
        <w:rPr>
          <w:rFonts w:ascii="Times New Roman" w:hAnsi="Times New Roman"/>
          <w:sz w:val="28"/>
          <w:szCs w:val="28"/>
        </w:rPr>
        <w:t xml:space="preserve">. 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87034B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детских садов по итогам 1 </w:t>
      </w:r>
      <w:r>
        <w:rPr>
          <w:rFonts w:ascii="Times New Roman" w:hAnsi="Times New Roman"/>
          <w:sz w:val="28"/>
          <w:szCs w:val="28"/>
        </w:rPr>
        <w:t xml:space="preserve">полугодия 2019 года выросла с 28818 </w:t>
      </w:r>
      <w:r w:rsidRPr="0087034B">
        <w:rPr>
          <w:rFonts w:ascii="Times New Roman" w:hAnsi="Times New Roman"/>
          <w:sz w:val="28"/>
          <w:szCs w:val="28"/>
        </w:rPr>
        <w:t>до 28952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87034B">
        <w:rPr>
          <w:rFonts w:ascii="Times New Roman" w:hAnsi="Times New Roman"/>
          <w:sz w:val="28"/>
          <w:szCs w:val="28"/>
        </w:rPr>
        <w:t>Заработная плата педагогов учреждений дополнительного образования по итогам 1 полугодия 2019 года выросла с 30591 до 31356 рублей</w:t>
      </w:r>
      <w:r>
        <w:rPr>
          <w:rFonts w:ascii="Times New Roman" w:hAnsi="Times New Roman"/>
          <w:sz w:val="28"/>
          <w:szCs w:val="28"/>
        </w:rPr>
        <w:t>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>
        <w:rPr>
          <w:rFonts w:ascii="Times New Roman" w:hAnsi="Times New Roman"/>
          <w:sz w:val="28"/>
          <w:szCs w:val="28"/>
        </w:rPr>
        <w:t>района, 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ежеквартальный мониторинг их выполнения.    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>
        <w:rPr>
          <w:rFonts w:ascii="Times New Roman" w:hAnsi="Times New Roman"/>
          <w:sz w:val="28"/>
          <w:szCs w:val="28"/>
        </w:rPr>
        <w:t>соответственно:  17</w:t>
      </w:r>
      <w:proofErr w:type="gramEnd"/>
      <w:r>
        <w:rPr>
          <w:rFonts w:ascii="Times New Roman" w:hAnsi="Times New Roman"/>
          <w:sz w:val="28"/>
          <w:szCs w:val="28"/>
        </w:rPr>
        <w:t>,2 млн; 14,7 млн; 22,1 млн; 36 млн; 29,9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специализированного охранного  предприятия, упорядочен </w:t>
      </w:r>
      <w:r>
        <w:rPr>
          <w:rFonts w:ascii="Times New Roman" w:hAnsi="Times New Roman"/>
          <w:sz w:val="28"/>
          <w:szCs w:val="28"/>
        </w:rPr>
        <w:lastRenderedPageBreak/>
        <w:t xml:space="preserve">пропускной режим, ведутся уголки безопасности.   Проблемным остается вопрос нехватки квалифицированных охранников.            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11, в 2019 году - 4)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четырех школ.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>
        <w:rPr>
          <w:rFonts w:ascii="Times New Roman" w:hAnsi="Times New Roman"/>
          <w:sz w:val="28"/>
          <w:szCs w:val="28"/>
        </w:rPr>
        <w:t>системой  видеонаблюдения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613179">
        <w:rPr>
          <w:rFonts w:ascii="Times New Roman" w:hAnsi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2022 года с 76,8 до 78 процентов.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>
        <w:rPr>
          <w:rFonts w:ascii="Times New Roman" w:hAnsi="Times New Roman"/>
          <w:sz w:val="28"/>
          <w:szCs w:val="28"/>
        </w:rPr>
        <w:t>преподавания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5D0D20" w:rsidRDefault="005D0D20" w:rsidP="005D0D2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</w:t>
      </w:r>
      <w:r>
        <w:rPr>
          <w:rFonts w:ascii="Times New Roman" w:hAnsi="Times New Roman"/>
          <w:sz w:val="28"/>
          <w:szCs w:val="28"/>
        </w:rPr>
        <w:lastRenderedPageBreak/>
        <w:t>на уровне средней заработной платы организаций общего образования Краснодарского края.</w:t>
      </w:r>
    </w:p>
    <w:p w:rsidR="005D0D20" w:rsidRDefault="005D0D20" w:rsidP="005D0D20">
      <w:pPr>
        <w:pStyle w:val="WW-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5D0D20" w:rsidRPr="005E58E4" w:rsidRDefault="005D0D20" w:rsidP="005D0D20">
      <w:pPr>
        <w:pStyle w:val="WW-"/>
        <w:ind w:firstLine="709"/>
        <w:jc w:val="both"/>
        <w:rPr>
          <w:sz w:val="28"/>
          <w:szCs w:val="28"/>
        </w:rPr>
      </w:pPr>
      <w:r w:rsidRPr="005E58E4">
        <w:rPr>
          <w:sz w:val="28"/>
          <w:szCs w:val="28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5D0D20" w:rsidRPr="005E58E4" w:rsidRDefault="005D0D20" w:rsidP="005D0D20">
      <w:pPr>
        <w:pStyle w:val="WW-"/>
        <w:ind w:firstLine="709"/>
        <w:jc w:val="both"/>
        <w:rPr>
          <w:sz w:val="28"/>
          <w:szCs w:val="28"/>
        </w:rPr>
      </w:pPr>
      <w:r w:rsidRPr="005E58E4">
        <w:rPr>
          <w:sz w:val="28"/>
          <w:szCs w:val="28"/>
        </w:rPr>
        <w:t xml:space="preserve">открыть в Темрюкском районе на базе общеобразовательных школ Центры цифрового и гуманитарного образования «Точка роста»: в 2020 году - 1; в 2021 году </w:t>
      </w:r>
      <w:r>
        <w:rPr>
          <w:sz w:val="28"/>
          <w:szCs w:val="28"/>
        </w:rPr>
        <w:t>–</w:t>
      </w:r>
      <w:r w:rsidRPr="005E58E4">
        <w:rPr>
          <w:sz w:val="28"/>
          <w:szCs w:val="28"/>
        </w:rPr>
        <w:t xml:space="preserve"> 4</w:t>
      </w:r>
      <w:r>
        <w:rPr>
          <w:sz w:val="28"/>
          <w:szCs w:val="28"/>
        </w:rPr>
        <w:t>; в 2022 году - 4</w:t>
      </w:r>
      <w:r w:rsidRPr="005E58E4">
        <w:rPr>
          <w:sz w:val="28"/>
          <w:szCs w:val="28"/>
        </w:rPr>
        <w:t>;</w:t>
      </w:r>
    </w:p>
    <w:p w:rsidR="005D0D20" w:rsidRPr="005E58E4" w:rsidRDefault="005D0D20" w:rsidP="005D0D20">
      <w:pPr>
        <w:pStyle w:val="WW-"/>
        <w:ind w:firstLine="709"/>
        <w:jc w:val="both"/>
        <w:rPr>
          <w:sz w:val="28"/>
          <w:szCs w:val="28"/>
        </w:rPr>
      </w:pPr>
      <w:r w:rsidRPr="005E58E4">
        <w:rPr>
          <w:sz w:val="28"/>
          <w:szCs w:val="28"/>
        </w:rPr>
        <w:t>обновить мате</w:t>
      </w:r>
      <w:r>
        <w:rPr>
          <w:sz w:val="28"/>
          <w:szCs w:val="28"/>
        </w:rPr>
        <w:t xml:space="preserve">риальную базу учебных кабинетов пяти </w:t>
      </w:r>
      <w:r w:rsidRPr="005E58E4">
        <w:rPr>
          <w:sz w:val="28"/>
          <w:szCs w:val="28"/>
        </w:rPr>
        <w:t xml:space="preserve">школ: </w:t>
      </w:r>
      <w:r>
        <w:rPr>
          <w:sz w:val="28"/>
          <w:szCs w:val="28"/>
        </w:rPr>
        <w:t xml:space="preserve">в 2019 году – 2 кабинета, </w:t>
      </w:r>
      <w:r w:rsidRPr="005E58E4">
        <w:rPr>
          <w:sz w:val="28"/>
          <w:szCs w:val="28"/>
        </w:rPr>
        <w:t>в 2020 году - 3 кабинета;</w:t>
      </w:r>
    </w:p>
    <w:p w:rsidR="005D0D20" w:rsidRPr="005E58E4" w:rsidRDefault="005D0D20" w:rsidP="005D0D20">
      <w:pPr>
        <w:pStyle w:val="WW-"/>
        <w:ind w:firstLine="709"/>
        <w:jc w:val="both"/>
        <w:rPr>
          <w:sz w:val="28"/>
          <w:szCs w:val="28"/>
        </w:rPr>
      </w:pPr>
      <w:r w:rsidRPr="005E58E4">
        <w:rPr>
          <w:sz w:val="28"/>
          <w:szCs w:val="28"/>
        </w:rPr>
        <w:t>обеспечить участие школ в проекте «Цифровая образовательная среда»: в 2020 году - 2 школы;</w:t>
      </w:r>
    </w:p>
    <w:p w:rsidR="007A6F69" w:rsidRPr="005D0D20" w:rsidRDefault="005D0D20" w:rsidP="005D0D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0">
        <w:rPr>
          <w:rFonts w:ascii="Times New Roman" w:hAnsi="Times New Roman" w:cs="Times New Roman"/>
          <w:sz w:val="28"/>
          <w:szCs w:val="28"/>
        </w:rPr>
        <w:t>обеспечить условия для реализации в школах района региональных проектов «Учитель будущего» и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5D0D20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D0D2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</w:p>
    <w:p w:rsidR="005D0D20" w:rsidRPr="005D0D20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9"/>
        <w:gridCol w:w="1417"/>
        <w:gridCol w:w="709"/>
        <w:gridCol w:w="709"/>
        <w:gridCol w:w="708"/>
        <w:gridCol w:w="709"/>
        <w:gridCol w:w="709"/>
        <w:gridCol w:w="709"/>
        <w:gridCol w:w="881"/>
        <w:gridCol w:w="686"/>
        <w:gridCol w:w="770"/>
      </w:tblGrid>
      <w:tr w:rsidR="005D0D20" w:rsidRPr="005D0D20" w:rsidTr="005D0D20">
        <w:trPr>
          <w:trHeight w:val="226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5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5D0D20" w:rsidRPr="005D0D20" w:rsidTr="005D0D20">
        <w:trPr>
          <w:trHeight w:val="920"/>
          <w:tblHeader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</w:tr>
      <w:tr w:rsidR="005D0D20" w:rsidRPr="005D0D20" w:rsidTr="005D0D20">
        <w:trPr>
          <w:trHeight w:val="58"/>
          <w:tblHeader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единый государственный экзамен, в общей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D0D20" w:rsidRPr="005D0D20" w:rsidTr="005D0D20">
        <w:trPr>
          <w:trHeight w:val="6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D0D20" w:rsidRPr="005D0D20" w:rsidTr="005D0D20">
        <w:trPr>
          <w:trHeight w:val="68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D0D20" w:rsidRPr="005D0D20" w:rsidTr="005D0D20">
        <w:trPr>
          <w:trHeight w:val="69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D0D20" w:rsidRPr="005D0D20" w:rsidTr="005D0D20">
        <w:trPr>
          <w:trHeight w:val="709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0D20" w:rsidRPr="005D0D20" w:rsidTr="005D0D20">
        <w:trPr>
          <w:trHeight w:val="852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D20" w:rsidRPr="005D0D20" w:rsidTr="005D0D2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D0D20" w:rsidRPr="005D0D20" w:rsidTr="005D0D20">
        <w:trPr>
          <w:trHeight w:val="3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0D20" w:rsidRPr="005D0D20" w:rsidTr="005D0D20">
        <w:trPr>
          <w:trHeight w:val="3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0D20" w:rsidRPr="005D0D20" w:rsidTr="005D0D20">
        <w:trPr>
          <w:trHeight w:val="3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организаций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0673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9E2634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45675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456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</w:t>
            </w:r>
            <w:proofErr w:type="gramStart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E45675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45675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45675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45675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45675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45675" w:rsidRDefault="00AA414E" w:rsidP="00F83C3A">
            <w:pPr>
              <w:rPr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45675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45675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E45675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45675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45675" w:rsidRDefault="00AA414E" w:rsidP="00F83C3A">
            <w:pPr>
              <w:rPr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45675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E45675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E45675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E45675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E45675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</w:tbl>
    <w:p w:rsidR="00C56C70" w:rsidRDefault="00C56C70" w:rsidP="00F83C3A">
      <w:pPr>
        <w:jc w:val="both"/>
        <w:rPr>
          <w:rFonts w:ascii="Times New Roman" w:hAnsi="Times New Roman" w:cs="Times New Roman"/>
          <w:sz w:val="24"/>
          <w:szCs w:val="24"/>
        </w:rPr>
        <w:sectPr w:rsidR="00C56C70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45675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45675" w:rsidRDefault="00AA414E" w:rsidP="00AA414E">
            <w:pPr>
              <w:rPr>
                <w:sz w:val="24"/>
                <w:szCs w:val="24"/>
              </w:rPr>
            </w:pPr>
            <w:r w:rsidRPr="00E4567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45675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75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</w:tbl>
    <w:p w:rsidR="00892E81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892E81">
        <w:rPr>
          <w:rFonts w:ascii="Times New Roman" w:hAnsi="Times New Roman"/>
          <w:sz w:val="28"/>
          <w:szCs w:val="28"/>
        </w:rPr>
        <w:t>2</w:t>
      </w:r>
      <w:r w:rsidR="009056AD" w:rsidRPr="009056AD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216C70"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21"/>
        <w:gridCol w:w="7"/>
        <w:gridCol w:w="727"/>
        <w:gridCol w:w="7"/>
        <w:gridCol w:w="1855"/>
        <w:gridCol w:w="1453"/>
      </w:tblGrid>
      <w:tr w:rsidR="005D0D20" w:rsidRPr="005D0D20" w:rsidTr="005D0D20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1" w:type="dxa"/>
            <w:gridSpan w:val="6"/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53" w:type="dxa"/>
            <w:vMerge w:val="restart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5D0D20" w:rsidRPr="005D0D20" w:rsidTr="005D0D2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0D20" w:rsidRPr="005D0D20" w:rsidTr="005D0D2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жет-ные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0D20" w:rsidRPr="005D0D20" w:rsidTr="005D0D20">
        <w:trPr>
          <w:trHeight w:val="273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5D0D20" w:rsidRPr="005D0D20" w:rsidTr="005D0D2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5D0D20" w:rsidRPr="005D0D20" w:rsidTr="005D0D2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1426051,9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944970,3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476470,1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1495113,6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981299,7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512741,5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1451594,1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960670,6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486595,8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1450849,9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955603,9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490923,6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9986049,1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19867,2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6679793,8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3286388,1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кое  обеспечение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Темрюкский район (далее – УО),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5D0D20" w:rsidRPr="005D0D20" w:rsidTr="005D0D20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6677,0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6677,0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4445,6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4445,6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4445,6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4445,6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495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26349,9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25363,6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круг-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 за счет местного бюджета,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оборудования образовательным учреждениям, текущий ремонт площадок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ремонт, ос-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нащение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краевого бюджета в 14 ОО в 2017 году, в 11 ОО в 2018 году, в 5 ОО в 2019 году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34271,2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32737,6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32737,6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8926,3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8926,3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9300,9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9300,9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367821,7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359441,7</w:t>
            </w:r>
          </w:p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среднего общего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по основ-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бесперебойной работы систем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коммуникаций образовательных организаций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до-школьных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внедряю-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инновацион-ные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дневных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15649,8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15064,6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15064,6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15064,6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15064,6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15064,6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15064,6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108672,6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108672,6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324,1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423,9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423,9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423,9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423,9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423,9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423,9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3016,6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3016,6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  не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477,4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3269,9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3269,9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спортивных залах обще-образовательных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системы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5D0D20" w:rsidRPr="005D0D20" w:rsidTr="005D0D2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357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про-ведение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ежегодного проведения многодневных походов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для  110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ОО,МБУ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ЦДЮТ и Э, 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обще-доступного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бес-платного дошкольного образования в муниципальных до-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исполнители - ОО 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188248,1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202368,3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202368,3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204071,3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204071,3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206004,6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206004,6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1184512,8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1184512,8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141079,2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144694,8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144694,8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146791,5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146791,5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149156,9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149156,9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886928,2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886928,2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дополнительного образования детей в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439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63497,7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77201,0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77201,0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77187,7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77187,7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77262,7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77262,7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464692,4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464692,4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896634,0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923058,6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923058,6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923058,6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923058,6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923058,6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923058,6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6308225,5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6308225,5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обеспе-чению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льготным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-ем учащихся из много-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указанной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2239,5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2239,5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2328,3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2328,3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2422,1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14330,5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14330,5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14523,0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14523,0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14523,0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14523,0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14523,0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14523,0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92505,1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92505,1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 32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в соответствие с требованиями ФГОС    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4577,2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17951,2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заработной платы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учреждений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12173,5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14266,0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14266,0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14266,0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83380,0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77806,8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c>
          <w:tcPr>
            <w:tcW w:w="966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c>
          <w:tcPr>
            <w:tcW w:w="966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альной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выплат указанной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категории работников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10088,7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10088,7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10492,2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10492,2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10912,0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10912,0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75973,1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75973,1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-приятий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-ной программы Красно-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среда» (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7391,5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7391,5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образования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 условий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согласно  законодательству, проведение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3067,6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4247,1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4247,1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4240,1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4240,1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4240,1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4240,1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36710,8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36710,8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4133,1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4133,1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Тем-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5%).</w:t>
            </w:r>
          </w:p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Материально-техническое обеспечение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и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3  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требовани-ями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5D0D2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7   школьных автобусов на</w:t>
            </w:r>
            <w:r w:rsidRPr="005D0D20">
              <w:rPr>
                <w:rFonts w:ascii="Calibri" w:eastAsia="Times New Roman" w:hAnsi="Calibri" w:cs="Times New Roman"/>
              </w:rPr>
              <w:t xml:space="preserve">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4; 2021 году – 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5580,0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19678,4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году (в том числе окончившим в 2015, 2016 годах и прошедшим службу в 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молодых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</w:t>
            </w:r>
          </w:p>
          <w:p w:rsidR="005D0D20" w:rsidRPr="005D0D20" w:rsidRDefault="005D0D20" w:rsidP="005D0D2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2537,1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2537,1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 школ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за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социальной поддержки, ежегодно 15 человек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1103,5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6114,7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6114,7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капитального ремонта спортивных залов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общеобразовательных организаций, помещений при них, других помещений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школы;  2019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школы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3908,3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разовательных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сооветсвующих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рпсположенных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профелей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Центры «Точка роста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»:  в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году- в 3-х школах; в 2020 году – в 1 школе; в 2021 году – в 4 школах; в 2022 году – в 4 школах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4847,5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4841,4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16055,3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14334,0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45264,0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34740,2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у обучающихся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современных навыков по предметной 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 условия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формирования у учащихся современных навыков по учебным предметам : в 2019 году – по химии и биологии в 2-х школах; в 2020 году по химии, биологии, физике – в 3-х школах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10198,7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767,7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15611,6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1175,2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 – 1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16752,4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14407,0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2345,4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16752,4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14407,0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2345,4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целевой модели цифровой образовательной среды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  общеобразовательных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  общеобразовательных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модели цифровой образовательной среды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действующим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29844,4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32803,4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32803,4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29028,2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29028,2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36467,7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8164,3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28303,4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205700,9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194369,1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-пожарной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надзорных органов  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  ОО</w:t>
            </w:r>
            <w:proofErr w:type="gramEnd"/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2670,9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2670,9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43863,6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43863,6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33 – в 2018 г.,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35 - в 2019, 39 – в 2020 г., 2021 г., 2022 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8731,6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71760,1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71760,1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софинансиро-вание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с 2017 года- дооснащение, обслуживание 89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9847,0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9847,0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5D0D20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вывод сигнала на пульт </w:t>
            </w:r>
            <w:proofErr w:type="gramStart"/>
            <w:r w:rsidRPr="005D0D2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01,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обслуживание: 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– 88 ОО, 2018-2019 г  - 89 ОО, 2020-2022 г  – 90 ОО,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5914,0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4352,4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4352,4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4352,4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4352,4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4352,4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4352,4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33196,6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33196,6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ОО- в 2019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ОО- в 2020, 2021 г., 4 ОО – в 2022 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8164,3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1329,1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27698,9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16367,1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ох-раной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техническое об-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14938,5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14938,5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организационных, информационных и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77530,8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70150,8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94011,2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88111,2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93051,6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87151,6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93059,7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87159,7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543930,2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31702,0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512228,2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количества предписаний надзорных органов, повышение качества образования,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Заказчик-АМОТР,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10494,1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70270,0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70270,0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количества предписаний надзорных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органов,  повышение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повышение эффективности использования бюджетных средств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Заказчик-АМОТР, 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-УО, исполнители</w:t>
            </w:r>
          </w:p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МКУ «ИМЦ», МКУ «ЦБ УО», МКУ ЦУМТБО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67518,1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60138,1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83191,1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77291,1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82460,9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76560,9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82469,0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76569,0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473001,7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31702,0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441299,7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на курсах повышения квалификации не менее 263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ОО,  МКУ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 </w:t>
            </w: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561,9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952350,3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576465,3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1621928,2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987199,7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633656,1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1573673,9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966570,6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602775,6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1580377,3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969668,2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606386,7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20" w:rsidRPr="005D0D20" w:rsidTr="005D0D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10735680,2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19867,2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6722827,6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D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3992985,4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D20" w:rsidRPr="005D0D20" w:rsidRDefault="005D0D20" w:rsidP="005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0" w:rsidRPr="005D0D20" w:rsidRDefault="005D0D20" w:rsidP="005D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0FB8" w:rsidRDefault="003D0FB8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D35FA6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B878D1" w:rsidRPr="00B878D1" w:rsidTr="00392106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878D1" w:rsidRPr="00B878D1" w:rsidTr="00392106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1621928,2</w:t>
            </w:r>
          </w:p>
        </w:tc>
        <w:tc>
          <w:tcPr>
            <w:tcW w:w="2126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1072,4</w:t>
            </w:r>
          </w:p>
        </w:tc>
        <w:tc>
          <w:tcPr>
            <w:tcW w:w="1701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987199,7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633656,1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1573673,9</w:t>
            </w:r>
          </w:p>
        </w:tc>
        <w:tc>
          <w:tcPr>
            <w:tcW w:w="2126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4327,7</w:t>
            </w:r>
          </w:p>
        </w:tc>
        <w:tc>
          <w:tcPr>
            <w:tcW w:w="1701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966570,6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602775,6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1580377,3</w:t>
            </w:r>
          </w:p>
        </w:tc>
        <w:tc>
          <w:tcPr>
            <w:tcW w:w="2126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4322,4</w:t>
            </w:r>
          </w:p>
        </w:tc>
        <w:tc>
          <w:tcPr>
            <w:tcW w:w="1701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969668,2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606386,7</w:t>
            </w:r>
          </w:p>
        </w:tc>
        <w:tc>
          <w:tcPr>
            <w:tcW w:w="2479" w:type="dxa"/>
            <w:vAlign w:val="center"/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78D1" w:rsidRPr="00B878D1" w:rsidTr="0039210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10735680,2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19867,2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6722827,6</w:t>
            </w:r>
          </w:p>
        </w:tc>
        <w:tc>
          <w:tcPr>
            <w:tcW w:w="1843" w:type="dxa"/>
            <w:shd w:val="clear" w:color="auto" w:fill="auto"/>
          </w:tcPr>
          <w:p w:rsidR="00B878D1" w:rsidRPr="00B878D1" w:rsidRDefault="00B878D1" w:rsidP="00B8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3992985,4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878D1" w:rsidRPr="00B878D1" w:rsidRDefault="00B878D1" w:rsidP="00B878D1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D0FB8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DB4C3E" w:rsidRPr="00D35FA6" w:rsidRDefault="00DB4C3E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102E" w:rsidRPr="00D35FA6" w:rsidRDefault="003F102E" w:rsidP="00911BE3">
      <w:pPr>
        <w:pStyle w:val="a4"/>
        <w:ind w:firstLine="709"/>
      </w:pPr>
    </w:p>
    <w:p w:rsidR="001F26E5" w:rsidRPr="000F1070" w:rsidRDefault="001F26E5" w:rsidP="000F1070">
      <w:pPr>
        <w:sectPr w:rsidR="001F26E5" w:rsidRPr="000F1070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  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>
        <w:rPr>
          <w:rFonts w:ascii="Times New Roman" w:hAnsi="Times New Roman"/>
          <w:sz w:val="28"/>
          <w:szCs w:val="28"/>
        </w:rPr>
        <w:t xml:space="preserve">пальной программы, мероприятий </w:t>
      </w:r>
      <w:r>
        <w:rPr>
          <w:rFonts w:ascii="Times New Roman" w:hAnsi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>
        <w:rPr>
          <w:rFonts w:ascii="Times New Roman" w:hAnsi="Times New Roman"/>
          <w:sz w:val="28"/>
          <w:szCs w:val="28"/>
        </w:rPr>
        <w:t>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законодательством 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B878D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B8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E4564A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B3" w:rsidRDefault="001802B3" w:rsidP="004A1E78">
      <w:pPr>
        <w:spacing w:after="0" w:line="240" w:lineRule="auto"/>
      </w:pPr>
      <w:r>
        <w:separator/>
      </w:r>
    </w:p>
  </w:endnote>
  <w:endnote w:type="continuationSeparator" w:id="0">
    <w:p w:rsidR="001802B3" w:rsidRDefault="001802B3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20" w:rsidRDefault="005D0D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B3" w:rsidRDefault="001802B3" w:rsidP="004A1E78">
      <w:pPr>
        <w:spacing w:after="0" w:line="240" w:lineRule="auto"/>
      </w:pPr>
      <w:r>
        <w:separator/>
      </w:r>
    </w:p>
  </w:footnote>
  <w:footnote w:type="continuationSeparator" w:id="0">
    <w:p w:rsidR="001802B3" w:rsidRDefault="001802B3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0D20" w:rsidRPr="00216C70" w:rsidRDefault="005D0D2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08614C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0D20" w:rsidRDefault="005D0D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20" w:rsidRPr="00950B27" w:rsidRDefault="005D0D20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5D0D20" w:rsidRDefault="005D0D20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5D0D20" w:rsidRPr="00C56C70" w:rsidRDefault="005D0D2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8614C" w:rsidRPr="0008614C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D0D20" w:rsidRPr="00C56C70" w:rsidRDefault="005D0D2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8614C" w:rsidRPr="0008614C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20" w:rsidRPr="002F5800" w:rsidRDefault="005D0D20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5D0D20" w:rsidRDefault="005D0D2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5D0D20" w:rsidRPr="005D0D20" w:rsidRDefault="005D0D2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8614C" w:rsidRPr="0008614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D0D20" w:rsidRPr="005D0D20" w:rsidRDefault="005D0D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8614C" w:rsidRPr="0008614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14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0D20" w:rsidRPr="000761FE" w:rsidRDefault="005D0D2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08614C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0D20" w:rsidRDefault="005D0D20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0D20" w:rsidRPr="002F5800" w:rsidRDefault="005D0D2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08614C">
          <w:rPr>
            <w:rFonts w:ascii="Times New Roman" w:hAnsi="Times New Roman"/>
            <w:noProof/>
            <w:sz w:val="28"/>
            <w:szCs w:val="28"/>
          </w:rPr>
          <w:t>47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0D20" w:rsidRDefault="005D0D20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5D0D20" w:rsidRPr="00F91CF6" w:rsidRDefault="005D0D2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D0D20" w:rsidRPr="00F91CF6" w:rsidRDefault="005D0D20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61FE"/>
    <w:rsid w:val="0007747A"/>
    <w:rsid w:val="0008614C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4A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0335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93457"/>
    <w:rsid w:val="00696F23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A052B"/>
    <w:rsid w:val="007A2477"/>
    <w:rsid w:val="007A5178"/>
    <w:rsid w:val="007A6F69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4B3B"/>
    <w:rsid w:val="00A566E7"/>
    <w:rsid w:val="00A56BD6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878D1"/>
    <w:rsid w:val="00B91D47"/>
    <w:rsid w:val="00B924EC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30007"/>
    <w:rsid w:val="00C30476"/>
    <w:rsid w:val="00C30EFC"/>
    <w:rsid w:val="00C324A3"/>
    <w:rsid w:val="00C406BE"/>
    <w:rsid w:val="00C43921"/>
    <w:rsid w:val="00C45D52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4C3E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1D29"/>
    <w:rsid w:val="00F02864"/>
    <w:rsid w:val="00F06254"/>
    <w:rsid w:val="00F06C92"/>
    <w:rsid w:val="00F12181"/>
    <w:rsid w:val="00F15123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84FE-0DDF-4A22-93BA-AC53933A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47</Pages>
  <Words>11652</Words>
  <Characters>66417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6</cp:revision>
  <cp:lastPrinted>2015-10-30T05:57:00Z</cp:lastPrinted>
  <dcterms:created xsi:type="dcterms:W3CDTF">2019-09-12T08:14:00Z</dcterms:created>
  <dcterms:modified xsi:type="dcterms:W3CDTF">2020-01-10T08:50:00Z</dcterms:modified>
</cp:coreProperties>
</file>