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lastRenderedPageBreak/>
              <w:t xml:space="preserve">Приобретение жилья в муниципальном </w:t>
            </w:r>
            <w:r w:rsidRPr="00F06F26">
              <w:rPr>
                <w:sz w:val="28"/>
                <w:szCs w:val="28"/>
              </w:rPr>
              <w:lastRenderedPageBreak/>
              <w:t>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C5704C">
              <w:rPr>
                <w:rFonts w:cs="Calibri"/>
                <w:sz w:val="28"/>
                <w:szCs w:val="28"/>
              </w:rPr>
              <w:t>180355,2</w:t>
            </w:r>
            <w:r w:rsidRPr="00866C92">
              <w:rPr>
                <w:rFonts w:cs="Calibri"/>
                <w:sz w:val="28"/>
                <w:szCs w:val="28"/>
              </w:rPr>
              <w:t xml:space="preserve"> 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5704C">
              <w:rPr>
                <w:bCs/>
                <w:sz w:val="28"/>
                <w:szCs w:val="28"/>
              </w:rPr>
              <w:t>42374,8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B1FA1">
              <w:rPr>
                <w:sz w:val="28"/>
                <w:szCs w:val="28"/>
              </w:rPr>
              <w:t>30703,2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B1FA1">
              <w:rPr>
                <w:sz w:val="28"/>
                <w:szCs w:val="28"/>
              </w:rPr>
              <w:t>30703,2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C5704C">
              <w:rPr>
                <w:sz w:val="28"/>
                <w:szCs w:val="28"/>
              </w:rPr>
              <w:t>34135,8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5704C">
              <w:rPr>
                <w:bCs/>
                <w:sz w:val="28"/>
                <w:szCs w:val="28"/>
              </w:rPr>
              <w:t>2247,7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1B1FA1">
              <w:rPr>
                <w:rStyle w:val="BodyTextChar"/>
                <w:sz w:val="28"/>
                <w:szCs w:val="28"/>
              </w:rPr>
              <w:t>131936,9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354A76" w:rsidRPr="00866C92">
              <w:rPr>
                <w:rStyle w:val="BodyTextChar"/>
                <w:sz w:val="28"/>
                <w:szCs w:val="28"/>
              </w:rPr>
              <w:t xml:space="preserve">2018 год – 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1B1FA1">
              <w:rPr>
                <w:rStyle w:val="BodyTextChar"/>
                <w:sz w:val="28"/>
                <w:szCs w:val="28"/>
              </w:rPr>
              <w:t xml:space="preserve">29771,7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1B1FA1">
              <w:rPr>
                <w:rStyle w:val="BodyTextChar"/>
                <w:sz w:val="28"/>
                <w:szCs w:val="28"/>
              </w:rPr>
              <w:t>146219,4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1B1FA1">
              <w:rPr>
                <w:rStyle w:val="BodyTextChar"/>
                <w:sz w:val="28"/>
                <w:szCs w:val="28"/>
              </w:rPr>
              <w:t>131936,9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>020 год – 0,0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</w:t>
      </w:r>
      <w:r>
        <w:rPr>
          <w:sz w:val="28"/>
          <w:szCs w:val="28"/>
        </w:rPr>
        <w:lastRenderedPageBreak/>
        <w:t>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</w:t>
      </w:r>
      <w:r>
        <w:rPr>
          <w:sz w:val="28"/>
          <w:szCs w:val="28"/>
        </w:rPr>
        <w:lastRenderedPageBreak/>
        <w:t>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C5704C" w:rsidP="00354A76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 xml:space="preserve">Количество земель или </w:t>
            </w:r>
            <w:r w:rsidRPr="00D76F01"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lastRenderedPageBreak/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1B1FA1" w:rsidP="00354A76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E03846" w:rsidRPr="00FE3941" w:rsidRDefault="00E03846" w:rsidP="00354A76"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E03846" w:rsidRPr="00FE3941" w:rsidRDefault="00354A76" w:rsidP="00354A76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rPr>
                <w:lang w:eastAsia="en-US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D97E57">
            <w:pPr>
              <w:jc w:val="center"/>
            </w:pPr>
            <w:r>
              <w:rPr>
                <w:lang w:eastAsia="en-US"/>
              </w:rPr>
              <w:t>11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5704C">
              <w:t>2</w:t>
            </w:r>
            <w:r>
              <w:t>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5704C" w:rsidP="00354A76">
            <w:pPr>
              <w:jc w:val="center"/>
            </w:pPr>
            <w: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5704C" w:rsidP="00354A76">
            <w:pPr>
              <w:jc w:val="center"/>
            </w:pPr>
            <w:r>
              <w:rPr>
                <w:lang w:eastAsia="en-US"/>
              </w:rPr>
              <w:t>2142,8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1B1FA1">
              <w:t>30</w:t>
            </w:r>
            <w:r>
              <w:t>;</w:t>
            </w:r>
          </w:p>
          <w:p w:rsidR="005C30DD" w:rsidRDefault="005C30DD" w:rsidP="00354A76">
            <w:r>
              <w:t>2020-16;</w:t>
            </w:r>
          </w:p>
          <w:p w:rsidR="005C30DD" w:rsidRPr="00FE3941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16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1B1FA1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1B1FA1">
            <w:pPr>
              <w:jc w:val="center"/>
            </w:pPr>
            <w:r w:rsidRPr="00026818">
              <w:rPr>
                <w:lang w:eastAsia="en-US"/>
              </w:rPr>
              <w:t>29771,7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</w:tr>
      <w:tr w:rsidR="001B1FA1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1B1FA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1B1FA1" w:rsidRPr="00FE3941" w:rsidRDefault="001B1FA1" w:rsidP="00354A76"/>
        </w:tc>
      </w:tr>
      <w:tr w:rsidR="001B1FA1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</w:pPr>
            <w:r>
              <w:t>2021</w:t>
            </w:r>
          </w:p>
          <w:p w:rsidR="001B1FA1" w:rsidRPr="00FE3941" w:rsidRDefault="001B1FA1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Default="001B1FA1" w:rsidP="001B1FA1">
            <w:pPr>
              <w:jc w:val="center"/>
            </w:pPr>
            <w:r w:rsidRPr="00026818"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1B1FA1" w:rsidRPr="00FE3941" w:rsidRDefault="001B1FA1" w:rsidP="00354A76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146219,4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9E26E5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41368,4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30703,2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9E26E5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>
              <w:t>2021</w:t>
            </w:r>
          </w:p>
          <w:p w:rsidR="009E26E5" w:rsidRDefault="009E26E5" w:rsidP="009E26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30703,2</w:t>
            </w:r>
          </w:p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179348,8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t>33129,4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от 19 июля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3838-КЗ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в Закон Краснодарского края 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краевом </w:t>
      </w: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на 2018 год и на плановый период 2019 и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252AF8" w:rsidRPr="007404FC" w:rsidRDefault="00252AF8" w:rsidP="00252AF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252AF8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jc w:val="center"/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 w:rsidRPr="00FA5E39">
              <w:rPr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jc w:val="center"/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 w:rsidRPr="00FA5E39">
              <w:rPr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180355,2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F91FCA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34135,8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3"/>
      <w:r w:rsidRPr="000E6DAF">
        <w:rPr>
          <w:sz w:val="28"/>
          <w:szCs w:val="28"/>
        </w:rPr>
        <w:t>Заказчик: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4" w:name="sub_415"/>
      <w:r w:rsidRPr="00053B9C">
        <w:rPr>
          <w:sz w:val="28"/>
          <w:szCs w:val="28"/>
        </w:rPr>
        <w:t>Исполнитель:</w:t>
      </w:r>
    </w:p>
    <w:bookmarkEnd w:id="4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5704C">
              <w:rPr>
                <w:rStyle w:val="BodyTextChar"/>
                <w:color w:val="FF0000"/>
                <w:sz w:val="28"/>
                <w:szCs w:val="28"/>
              </w:rPr>
              <w:t>146219,4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9E26E5">
              <w:rPr>
                <w:sz w:val="28"/>
                <w:szCs w:val="28"/>
                <w:lang w:eastAsia="en-US"/>
              </w:rPr>
              <w:t>40127,1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2020 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2021 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>планируется привлечение</w:t>
            </w:r>
            <w:r>
              <w:rPr>
                <w:rStyle w:val="BodyTextChar"/>
                <w:sz w:val="28"/>
                <w:szCs w:val="28"/>
              </w:rPr>
              <w:t xml:space="preserve"> средств из краевого бюджета – </w:t>
            </w:r>
            <w:r w:rsidR="009E26E5">
              <w:rPr>
                <w:rStyle w:val="BodyTextChar"/>
                <w:color w:val="FF0000"/>
                <w:sz w:val="28"/>
                <w:szCs w:val="28"/>
              </w:rPr>
              <w:t>131936,9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20759,7 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9E26E5">
              <w:rPr>
                <w:sz w:val="28"/>
                <w:szCs w:val="28"/>
                <w:lang w:eastAsia="en-US"/>
              </w:rPr>
              <w:t>40127,3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9E26E5">
              <w:rPr>
                <w:sz w:val="28"/>
                <w:szCs w:val="28"/>
                <w:lang w:eastAsia="en-US"/>
              </w:rPr>
              <w:t xml:space="preserve">29771,7 </w:t>
            </w:r>
            <w:r w:rsidRPr="00286A08">
              <w:rPr>
                <w:rStyle w:val="BodyTextChar"/>
                <w:sz w:val="28"/>
                <w:szCs w:val="28"/>
              </w:rPr>
              <w:t>тыс</w:t>
            </w:r>
            <w:r>
              <w:rPr>
                <w:rStyle w:val="BodyTextChar"/>
                <w:sz w:val="28"/>
                <w:szCs w:val="28"/>
              </w:rPr>
              <w:t>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B41A59" w:rsidRPr="002941BF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82F4B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16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16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2248E" w:rsidRPr="00FE3941" w:rsidTr="00507D4D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B82F4B">
              <w:t>30</w:t>
            </w:r>
            <w:r>
              <w:t>;</w:t>
            </w:r>
          </w:p>
          <w:p w:rsidR="0062248E" w:rsidRDefault="0062248E" w:rsidP="00507D4D">
            <w:r>
              <w:t>2020-16;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  <w:r>
              <w:t xml:space="preserve">2021-16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C86A31" w:rsidRDefault="0062248E" w:rsidP="00507D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507D4D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57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0D0040" w:rsidRDefault="0062248E" w:rsidP="00507D4D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68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40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2248E" w:rsidRPr="00FE3941" w:rsidRDefault="0062248E" w:rsidP="00507D4D"/>
        </w:tc>
      </w:tr>
      <w:tr w:rsidR="0062248E" w:rsidRPr="00FE3941" w:rsidTr="00507D4D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2021</w:t>
            </w:r>
          </w:p>
          <w:p w:rsidR="0062248E" w:rsidRPr="00FE3941" w:rsidRDefault="0062248E" w:rsidP="00507D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  <w:tr w:rsidR="0062248E" w:rsidRPr="00FE3941" w:rsidTr="0062248E">
        <w:trPr>
          <w:trHeight w:val="3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Всего</w:t>
            </w:r>
          </w:p>
          <w:p w:rsidR="0062248E" w:rsidRPr="00FE3941" w:rsidRDefault="0062248E" w:rsidP="00507D4D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146219,4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8048FA">
        <w:rPr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sz w:val="28"/>
          <w:szCs w:val="28"/>
        </w:rPr>
        <w:t xml:space="preserve">Закон Краснодарского края </w:t>
      </w:r>
      <w:r w:rsidRPr="008048FA">
        <w:rPr>
          <w:sz w:val="28"/>
          <w:szCs w:val="28"/>
        </w:rPr>
        <w:t>от 19 июля 2018 </w:t>
      </w:r>
      <w:r>
        <w:rPr>
          <w:sz w:val="28"/>
          <w:szCs w:val="28"/>
        </w:rPr>
        <w:t>года</w:t>
      </w:r>
      <w:r w:rsidRPr="008048FA">
        <w:rPr>
          <w:sz w:val="28"/>
          <w:szCs w:val="28"/>
        </w:rPr>
        <w:t xml:space="preserve"> </w:t>
      </w:r>
      <w:r>
        <w:rPr>
          <w:sz w:val="28"/>
          <w:szCs w:val="28"/>
        </w:rPr>
        <w:t>№ 3838-КЗ</w:t>
      </w:r>
      <w:r>
        <w:rPr>
          <w:sz w:val="28"/>
          <w:szCs w:val="28"/>
        </w:rPr>
        <w:br/>
        <w:t>«</w:t>
      </w:r>
      <w:r w:rsidRPr="008048FA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Закон Краснодарского края «</w:t>
      </w:r>
      <w:r w:rsidRPr="008048FA">
        <w:rPr>
          <w:sz w:val="28"/>
          <w:szCs w:val="28"/>
        </w:rPr>
        <w:t>О</w:t>
      </w:r>
      <w:proofErr w:type="gramEnd"/>
      <w:r w:rsidRPr="008048FA">
        <w:rPr>
          <w:sz w:val="28"/>
          <w:szCs w:val="28"/>
        </w:rPr>
        <w:t xml:space="preserve"> краевом </w:t>
      </w:r>
      <w:proofErr w:type="gramStart"/>
      <w:r w:rsidRPr="008048FA">
        <w:rPr>
          <w:sz w:val="28"/>
          <w:szCs w:val="28"/>
        </w:rPr>
        <w:t>бюджете</w:t>
      </w:r>
      <w:proofErr w:type="gramEnd"/>
      <w:r w:rsidRPr="008048FA">
        <w:rPr>
          <w:sz w:val="28"/>
          <w:szCs w:val="28"/>
        </w:rPr>
        <w:t xml:space="preserve"> на 2018 год и на плановый период 2019 и 2020 годов</w:t>
      </w:r>
      <w:r>
        <w:rPr>
          <w:sz w:val="28"/>
          <w:szCs w:val="28"/>
        </w:rPr>
        <w:t>»).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82F4B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B82F4B">
            <w:pPr>
              <w:jc w:val="center"/>
            </w:pPr>
            <w:r w:rsidRPr="00CE759C"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82F4B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B82F4B">
            <w:pPr>
              <w:jc w:val="center"/>
            </w:pPr>
            <w:r w:rsidRPr="00CE759C"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E27F0D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46" w:rsidRDefault="00840046" w:rsidP="00C60BDD">
      <w:r>
        <w:separator/>
      </w:r>
    </w:p>
  </w:endnote>
  <w:endnote w:type="continuationSeparator" w:id="0">
    <w:p w:rsidR="00840046" w:rsidRDefault="00840046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46" w:rsidRDefault="00840046" w:rsidP="00C60BDD">
      <w:r>
        <w:separator/>
      </w:r>
    </w:p>
  </w:footnote>
  <w:footnote w:type="continuationSeparator" w:id="0">
    <w:p w:rsidR="00840046" w:rsidRDefault="00840046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Content>
      <w:p w:rsidR="00C5704C" w:rsidRDefault="00C57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CA">
          <w:rPr>
            <w:noProof/>
          </w:rPr>
          <w:t>27</w:t>
        </w:r>
        <w:r>
          <w:fldChar w:fldCharType="end"/>
        </w:r>
      </w:p>
    </w:sdtContent>
  </w:sdt>
  <w:p w:rsidR="00C5704C" w:rsidRDefault="00C57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5096"/>
    <w:rsid w:val="000D6889"/>
    <w:rsid w:val="001372C6"/>
    <w:rsid w:val="001520CB"/>
    <w:rsid w:val="0017333E"/>
    <w:rsid w:val="001A1C55"/>
    <w:rsid w:val="001B1FA1"/>
    <w:rsid w:val="001D5F08"/>
    <w:rsid w:val="002461CA"/>
    <w:rsid w:val="00252AF8"/>
    <w:rsid w:val="00286A08"/>
    <w:rsid w:val="002A20E8"/>
    <w:rsid w:val="002B02FA"/>
    <w:rsid w:val="002C70F1"/>
    <w:rsid w:val="002D67B2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A08B3"/>
    <w:rsid w:val="003D199C"/>
    <w:rsid w:val="003E67F6"/>
    <w:rsid w:val="003E78CA"/>
    <w:rsid w:val="004413DE"/>
    <w:rsid w:val="004719BB"/>
    <w:rsid w:val="004F5623"/>
    <w:rsid w:val="00507D4D"/>
    <w:rsid w:val="00525D2A"/>
    <w:rsid w:val="00527D94"/>
    <w:rsid w:val="00554A17"/>
    <w:rsid w:val="00563A86"/>
    <w:rsid w:val="00582A1A"/>
    <w:rsid w:val="005852FA"/>
    <w:rsid w:val="005C30DD"/>
    <w:rsid w:val="005F0E72"/>
    <w:rsid w:val="0062248E"/>
    <w:rsid w:val="00656D22"/>
    <w:rsid w:val="00663BE3"/>
    <w:rsid w:val="0068744F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40046"/>
    <w:rsid w:val="00866C92"/>
    <w:rsid w:val="008726E9"/>
    <w:rsid w:val="008B49BE"/>
    <w:rsid w:val="009431B6"/>
    <w:rsid w:val="00967835"/>
    <w:rsid w:val="009A57ED"/>
    <w:rsid w:val="009E26E5"/>
    <w:rsid w:val="009E310E"/>
    <w:rsid w:val="00A15C38"/>
    <w:rsid w:val="00A366E5"/>
    <w:rsid w:val="00A75252"/>
    <w:rsid w:val="00A95F5C"/>
    <w:rsid w:val="00AA3E56"/>
    <w:rsid w:val="00AE5F22"/>
    <w:rsid w:val="00AE7166"/>
    <w:rsid w:val="00B32741"/>
    <w:rsid w:val="00B41A59"/>
    <w:rsid w:val="00B6560B"/>
    <w:rsid w:val="00B71A44"/>
    <w:rsid w:val="00B82F4B"/>
    <w:rsid w:val="00B8744E"/>
    <w:rsid w:val="00BB345F"/>
    <w:rsid w:val="00BB6129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72C9C"/>
    <w:rsid w:val="00C8754E"/>
    <w:rsid w:val="00C904E1"/>
    <w:rsid w:val="00D1430D"/>
    <w:rsid w:val="00D57E2F"/>
    <w:rsid w:val="00D70FC0"/>
    <w:rsid w:val="00D80FCB"/>
    <w:rsid w:val="00D97E57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81</cp:revision>
  <dcterms:created xsi:type="dcterms:W3CDTF">2016-11-18T10:51:00Z</dcterms:created>
  <dcterms:modified xsi:type="dcterms:W3CDTF">2019-02-28T06:43:00Z</dcterms:modified>
</cp:coreProperties>
</file>