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Отдел по физической культуре и спорту администрации муниципального образования </w:t>
            </w:r>
            <w:r w:rsidRPr="00BE00C3">
              <w:lastRenderedPageBreak/>
              <w:t>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AB0E63" w:rsidRPr="00AB0E63">
              <w:rPr>
                <w:bCs/>
                <w:lang w:eastAsia="en-US"/>
              </w:rPr>
              <w:t xml:space="preserve">84613,1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AB0E63" w:rsidRPr="00AB0E63">
              <w:rPr>
                <w:bCs/>
                <w:lang w:eastAsia="en-US"/>
              </w:rPr>
              <w:t xml:space="preserve">12461,6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AB0E63" w:rsidRPr="00AB0E63">
              <w:rPr>
                <w:bCs/>
                <w:lang w:eastAsia="en-US"/>
              </w:rPr>
              <w:t>45984,8</w:t>
            </w:r>
            <w:r w:rsidR="00AB0E6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AB0E63" w:rsidRPr="00AB0E63">
              <w:rPr>
                <w:bCs/>
                <w:lang w:eastAsia="en-US"/>
              </w:rPr>
              <w:t xml:space="preserve">6030,1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A94C40" w:rsidRPr="00A94C40">
              <w:rPr>
                <w:bCs/>
                <w:lang w:eastAsia="en-US"/>
              </w:rPr>
              <w:t>38628,3</w:t>
            </w:r>
            <w:r w:rsidR="00A94C40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9B660E" w:rsidRPr="009B660E">
              <w:rPr>
                <w:bCs/>
                <w:lang w:eastAsia="en-US"/>
              </w:rPr>
              <w:t>79057,0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B660E" w:rsidRPr="009B660E">
              <w:rPr>
                <w:bCs/>
                <w:lang w:eastAsia="en-US"/>
              </w:rPr>
              <w:t xml:space="preserve">12461,6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- </w:t>
            </w:r>
            <w:r w:rsidR="009B660E" w:rsidRPr="009B660E">
              <w:rPr>
                <w:bCs/>
                <w:lang w:eastAsia="en-US"/>
              </w:rPr>
              <w:t xml:space="preserve">40428,7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B660E" w:rsidRPr="009B660E">
              <w:rPr>
                <w:bCs/>
                <w:lang w:eastAsia="en-US"/>
              </w:rPr>
              <w:t xml:space="preserve">6030,1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9149FF">
              <w:rPr>
                <w:bCs/>
                <w:lang w:eastAsia="en-US"/>
              </w:rPr>
              <w:t>38628,3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в </w:t>
      </w:r>
      <w:r w:rsidRPr="00BE00C3">
        <w:rPr>
          <w:bCs/>
        </w:rPr>
        <w:t xml:space="preserve"> 2018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12461,6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spacing w:line="276" w:lineRule="auto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6030,1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79057,0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40428,7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spacing w:line="276" w:lineRule="auto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12461,6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spacing w:line="276" w:lineRule="auto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6030,1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84613,1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45984,8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- </w:t>
            </w:r>
            <w:r w:rsidR="009D0062" w:rsidRPr="009D0062">
              <w:rPr>
                <w:bCs/>
                <w:lang w:eastAsia="en-US"/>
              </w:rPr>
              <w:t xml:space="preserve">79057,0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9D0062" w:rsidRPr="009D0062">
              <w:rPr>
                <w:bCs/>
                <w:lang w:eastAsia="en-US"/>
              </w:rPr>
              <w:t xml:space="preserve">12461,6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- </w:t>
            </w:r>
            <w:r w:rsidR="009D0062" w:rsidRPr="009D0062">
              <w:rPr>
                <w:bCs/>
                <w:lang w:eastAsia="en-US"/>
              </w:rPr>
              <w:t xml:space="preserve">40428,7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9D0062" w:rsidRPr="009D0062">
              <w:rPr>
                <w:bCs/>
                <w:lang w:eastAsia="en-US"/>
              </w:rPr>
              <w:t xml:space="preserve">6030,1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6560">
              <w:rPr>
                <w:bCs/>
                <w:lang w:eastAsia="en-US"/>
              </w:rPr>
              <w:t xml:space="preserve">38628,3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правонарушений с </w:t>
            </w:r>
            <w:r w:rsidRPr="00BE00C3">
              <w:rPr>
                <w:lang w:eastAsia="en-US"/>
              </w:rPr>
              <w:lastRenderedPageBreak/>
              <w:t xml:space="preserve">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учебы время </w:t>
            </w:r>
            <w:r w:rsidRPr="00BE00C3">
              <w:rPr>
                <w:bCs/>
                <w:lang w:eastAsia="en-US"/>
              </w:rPr>
              <w:lastRenderedPageBreak/>
              <w:t>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свободное от </w:t>
            </w:r>
            <w:r w:rsidRPr="00BE00C3">
              <w:rPr>
                <w:bCs/>
                <w:lang w:eastAsia="en-US"/>
              </w:rPr>
              <w:lastRenderedPageBreak/>
              <w:t>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общеобразовательных </w:t>
            </w:r>
            <w:r w:rsidRPr="00BE00C3">
              <w:rPr>
                <w:lang w:eastAsia="en-US"/>
              </w:rPr>
              <w:lastRenderedPageBreak/>
              <w:t>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3721B4" w:rsidP="00045BF7">
            <w:pPr>
              <w:jc w:val="center"/>
              <w:rPr>
                <w:lang w:eastAsia="en-US"/>
              </w:rPr>
            </w:pPr>
            <w:r w:rsidRPr="003721B4">
              <w:t>5300,0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3721B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3721B4" w:rsidP="00045BF7">
            <w:pPr>
              <w:jc w:val="center"/>
              <w:rPr>
                <w:lang w:eastAsia="en-US"/>
              </w:rPr>
            </w:pPr>
            <w:r w:rsidRPr="003721B4">
              <w:t>28990,8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3721B4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28990,8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36150,4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33237,9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761C5A" w:rsidP="00045BF7">
            <w:pPr>
              <w:jc w:val="center"/>
              <w:rPr>
                <w:lang w:eastAsia="en-US"/>
              </w:rPr>
            </w:pPr>
            <w:r w:rsidRPr="00761C5A">
              <w:rPr>
                <w:bCs/>
                <w:lang w:eastAsia="en-US"/>
              </w:rPr>
              <w:t>12461,6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E76467" w:rsidP="00045BF7">
            <w:pPr>
              <w:jc w:val="center"/>
              <w:rPr>
                <w:lang w:eastAsia="en-US"/>
              </w:rPr>
            </w:pPr>
            <w:r w:rsidRPr="00E76467">
              <w:rPr>
                <w:bCs/>
                <w:lang w:eastAsia="en-US"/>
              </w:rPr>
              <w:t>6030,1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E7646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6467">
              <w:rPr>
                <w:bCs/>
                <w:lang w:eastAsia="en-US"/>
              </w:rPr>
              <w:t>79057,0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38628,3</w:t>
            </w:r>
          </w:p>
        </w:tc>
        <w:tc>
          <w:tcPr>
            <w:tcW w:w="1134" w:type="dxa"/>
          </w:tcPr>
          <w:p w:rsidR="00045BF7" w:rsidRPr="00BE00C3" w:rsidRDefault="00E7646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6467">
              <w:rPr>
                <w:bCs/>
                <w:lang w:eastAsia="en-US"/>
              </w:rPr>
              <w:t>40428,7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A3D10" w:rsidP="00045BF7">
            <w:pPr>
              <w:spacing w:line="276" w:lineRule="auto"/>
              <w:jc w:val="center"/>
              <w:rPr>
                <w:lang w:eastAsia="en-US"/>
              </w:rPr>
            </w:pPr>
            <w:r w:rsidRPr="00AA3D10">
              <w:rPr>
                <w:lang w:eastAsia="en-US"/>
              </w:rPr>
              <w:t>12461,6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A3D10" w:rsidP="00045BF7">
            <w:pPr>
              <w:spacing w:line="276" w:lineRule="auto"/>
              <w:jc w:val="center"/>
            </w:pPr>
            <w:r w:rsidRPr="00AA3D10">
              <w:rPr>
                <w:lang w:eastAsia="en-US"/>
              </w:rPr>
              <w:t>6030,1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A3D1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3D10">
              <w:rPr>
                <w:lang w:eastAsia="en-US"/>
              </w:rPr>
              <w:t>79057,0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A3D1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3D10">
              <w:rPr>
                <w:lang w:eastAsia="en-US"/>
              </w:rPr>
              <w:t>40428,7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</w:p>
    <w:p w:rsidR="005F4B9D" w:rsidRPr="00BE00C3" w:rsidRDefault="005F4B9D" w:rsidP="00BE00C3"/>
    <w:p w:rsidR="00045BF7" w:rsidRPr="00BE00C3" w:rsidRDefault="00045BF7" w:rsidP="00045BF7">
      <w:pPr>
        <w:ind w:left="6096"/>
        <w:jc w:val="center"/>
      </w:pPr>
      <w:r w:rsidRPr="00BE00C3"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lastRenderedPageBreak/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lastRenderedPageBreak/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24.05.2018 № 587, от 16.10.2018 № 1362,)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bookmarkStart w:id="7" w:name="_GoBack"/>
      <w:bookmarkEnd w:id="7"/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9B660E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1D" w:rsidRDefault="00696F1D">
      <w:r>
        <w:separator/>
      </w:r>
    </w:p>
  </w:endnote>
  <w:endnote w:type="continuationSeparator" w:id="0">
    <w:p w:rsidR="00696F1D" w:rsidRDefault="006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1D" w:rsidRDefault="00696F1D">
      <w:r>
        <w:separator/>
      </w:r>
    </w:p>
  </w:footnote>
  <w:footnote w:type="continuationSeparator" w:id="0">
    <w:p w:rsidR="00696F1D" w:rsidRDefault="0069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Pr="00EB1F82" w:rsidRDefault="009B660E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AA3D10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9B660E" w:rsidRPr="00EB1F82" w:rsidRDefault="009B660E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Default="009B660E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Pr="00B670ED" w:rsidRDefault="009B660E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Content>
      <w:p w:rsidR="009B660E" w:rsidRDefault="009B6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1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B660E" w:rsidRDefault="009B660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Default="009B660E">
    <w:pPr>
      <w:pStyle w:val="a7"/>
      <w:jc w:val="center"/>
    </w:pPr>
  </w:p>
  <w:p w:rsidR="009B660E" w:rsidRDefault="009B660E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Content>
      <w:p w:rsidR="009B660E" w:rsidRDefault="009B6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B660E" w:rsidRDefault="009B66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854E3"/>
    <w:rsid w:val="0018779D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577B"/>
    <w:rsid w:val="002E1336"/>
    <w:rsid w:val="002E61E5"/>
    <w:rsid w:val="00332687"/>
    <w:rsid w:val="003375F3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80B0C"/>
    <w:rsid w:val="0049698B"/>
    <w:rsid w:val="004A2352"/>
    <w:rsid w:val="004A3994"/>
    <w:rsid w:val="004A4991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B02A8"/>
    <w:rsid w:val="005C128C"/>
    <w:rsid w:val="005C506F"/>
    <w:rsid w:val="005C7947"/>
    <w:rsid w:val="005F2F28"/>
    <w:rsid w:val="005F4B9D"/>
    <w:rsid w:val="00600111"/>
    <w:rsid w:val="006057E6"/>
    <w:rsid w:val="00620009"/>
    <w:rsid w:val="006261A6"/>
    <w:rsid w:val="00687E0C"/>
    <w:rsid w:val="00693AA4"/>
    <w:rsid w:val="00695472"/>
    <w:rsid w:val="00696F1D"/>
    <w:rsid w:val="006D6E79"/>
    <w:rsid w:val="00700746"/>
    <w:rsid w:val="00727DAE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D6575"/>
    <w:rsid w:val="008E0002"/>
    <w:rsid w:val="008E00D1"/>
    <w:rsid w:val="009111C5"/>
    <w:rsid w:val="009149FF"/>
    <w:rsid w:val="00980654"/>
    <w:rsid w:val="009B3CB3"/>
    <w:rsid w:val="009B660E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C302E"/>
    <w:rsid w:val="00CE2CC1"/>
    <w:rsid w:val="00CF0F79"/>
    <w:rsid w:val="00CF1AF3"/>
    <w:rsid w:val="00CF45EC"/>
    <w:rsid w:val="00D26560"/>
    <w:rsid w:val="00E025F7"/>
    <w:rsid w:val="00E10DD6"/>
    <w:rsid w:val="00E76467"/>
    <w:rsid w:val="00EB0620"/>
    <w:rsid w:val="00EE209B"/>
    <w:rsid w:val="00EE5333"/>
    <w:rsid w:val="00EF52A6"/>
    <w:rsid w:val="00EF5887"/>
    <w:rsid w:val="00F40BE4"/>
    <w:rsid w:val="00F55AE3"/>
    <w:rsid w:val="00F761E8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9B04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71F8-2D09-4A8B-8DD3-69B9F3C0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11977</Words>
  <Characters>68272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2018-07-06T10:52:00Z</cp:lastPrinted>
  <dcterms:created xsi:type="dcterms:W3CDTF">2020-09-08T08:27:00Z</dcterms:created>
  <dcterms:modified xsi:type="dcterms:W3CDTF">2021-06-08T10:49:00Z</dcterms:modified>
</cp:coreProperties>
</file>