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>, от 19.03.2021 № 305</w:t>
      </w:r>
      <w:r w:rsidR="00003EA7">
        <w:rPr>
          <w:rFonts w:ascii="Times New Roman" w:hAnsi="Times New Roman" w:cs="Times New Roman"/>
        </w:rPr>
        <w:t>, от 08.04.2021 № 466</w:t>
      </w:r>
      <w:r w:rsidR="00C0108A">
        <w:rPr>
          <w:rFonts w:ascii="Times New Roman" w:hAnsi="Times New Roman" w:cs="Times New Roman"/>
        </w:rPr>
        <w:t xml:space="preserve">, от </w:t>
      </w:r>
      <w:r w:rsidR="0095482B">
        <w:rPr>
          <w:rFonts w:ascii="Times New Roman" w:hAnsi="Times New Roman" w:cs="Times New Roman"/>
        </w:rPr>
        <w:t>23.04.2021 № 5</w:t>
      </w:r>
      <w:r w:rsidR="00C0108A">
        <w:rPr>
          <w:rFonts w:ascii="Times New Roman" w:hAnsi="Times New Roman" w:cs="Times New Roman"/>
        </w:rPr>
        <w:t>7</w:t>
      </w:r>
      <w:r w:rsidR="0095482B">
        <w:rPr>
          <w:rFonts w:ascii="Times New Roman" w:hAnsi="Times New Roman" w:cs="Times New Roman"/>
        </w:rPr>
        <w:t>9</w:t>
      </w:r>
      <w:r w:rsidR="00184E4F">
        <w:rPr>
          <w:rFonts w:ascii="Times New Roman" w:hAnsi="Times New Roman" w:cs="Times New Roman"/>
        </w:rPr>
        <w:t>, от 21.05.2021 № 711</w:t>
      </w:r>
      <w:r w:rsidR="009170CC">
        <w:rPr>
          <w:rFonts w:ascii="Times New Roman" w:hAnsi="Times New Roman" w:cs="Times New Roman"/>
        </w:rPr>
        <w:t>, от 10.06.2021 № 816</w:t>
      </w:r>
      <w:r w:rsidR="001C6506">
        <w:rPr>
          <w:rFonts w:ascii="Times New Roman" w:hAnsi="Times New Roman" w:cs="Times New Roman"/>
        </w:rPr>
        <w:t>, от 20.07.2021 № 1036</w:t>
      </w:r>
      <w:r w:rsidR="002A7BED">
        <w:rPr>
          <w:rFonts w:ascii="Times New Roman" w:hAnsi="Times New Roman" w:cs="Times New Roman"/>
        </w:rPr>
        <w:t>, от 17.08.2021 № 1213</w:t>
      </w:r>
      <w:r w:rsidR="00FE7E48">
        <w:rPr>
          <w:rFonts w:ascii="Times New Roman" w:hAnsi="Times New Roman" w:cs="Times New Roman"/>
        </w:rPr>
        <w:t>, от 21.09.2021 № 1397</w:t>
      </w:r>
      <w:r w:rsidR="009C0191">
        <w:rPr>
          <w:rFonts w:ascii="Times New Roman" w:hAnsi="Times New Roman" w:cs="Times New Roman"/>
        </w:rPr>
        <w:t>, от 19.10.21 № 1546</w:t>
      </w:r>
      <w:r w:rsidR="007E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 xml:space="preserve">управление жилищно-коммунального хозяйства, охраны </w:t>
            </w:r>
            <w:r w:rsidRPr="00F44200">
              <w:rPr>
                <w:rFonts w:ascii="Times New Roman" w:hAnsi="Times New Roman" w:cs="Times New Roman"/>
                <w:sz w:val="28"/>
              </w:rPr>
              <w:lastRenderedPageBreak/>
              <w:t>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proofErr w:type="gramStart"/>
            <w:r w:rsidRPr="00B0106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373023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82884,8 тыс. рублей;</w:t>
            </w:r>
          </w:p>
          <w:p w:rsidR="009C0191" w:rsidRPr="00096277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</w:rPr>
              <w:t>85722,5</w:t>
            </w:r>
            <w:r w:rsidRPr="007801E6">
              <w:rPr>
                <w:sz w:val="28"/>
                <w:szCs w:val="24"/>
              </w:rPr>
              <w:t xml:space="preserve"> 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2022 год – 52925,3 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9C0191" w:rsidRPr="00D24EFB" w:rsidRDefault="009C0191" w:rsidP="009C0191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местного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237065,1</w:t>
            </w:r>
            <w:r w:rsidRPr="00D24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9C0191" w:rsidRPr="00D24EFB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57488,5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0191" w:rsidRPr="00FC1FDC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19808,3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0191" w:rsidRPr="00B01066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2023 год – 16173,6 тыс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  <w:p w:rsidR="009C0191" w:rsidRPr="00B01066" w:rsidRDefault="009C0191" w:rsidP="009C0191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краевого бюджета – </w:t>
            </w:r>
            <w:r w:rsidRPr="00FC1FD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135958,0</w:t>
            </w:r>
            <w:r w:rsidRPr="00FC1FD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9C0191" w:rsidRPr="00B01066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9C0191" w:rsidRPr="00B01066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9C0191" w:rsidRPr="00B01066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9C0191" w:rsidRPr="00B01066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9C0191" w:rsidRPr="00B01066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9C0191" w:rsidRPr="00FC1FDC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>28234,0 тыс. рублей;</w:t>
            </w:r>
          </w:p>
          <w:p w:rsidR="009C0191" w:rsidRPr="00B01066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2022 год -  33117,0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7901" w:rsidRPr="00711126" w:rsidRDefault="009C0191" w:rsidP="009C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 xml:space="preserve">Основной проблемой, сдерживающей жилищное строительство на вовлеченных землях, является отсутствие свободных мощностей и высокая </w:t>
      </w:r>
      <w:r w:rsidRPr="00B01066">
        <w:rPr>
          <w:rFonts w:ascii="Times New Roman" w:hAnsi="Times New Roman"/>
          <w:sz w:val="28"/>
        </w:rPr>
        <w:lastRenderedPageBreak/>
        <w:t>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883DA0" w:rsidRDefault="00883DA0" w:rsidP="001C65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C0191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9C0191" w:rsidRPr="00B9192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C0191" w:rsidRPr="00B91921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C0191" w:rsidRPr="00B91921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276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C0191" w:rsidRPr="00B91921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9C0191" w:rsidRPr="00B91921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267B7" w:rsidTr="00883DA0">
        <w:trPr>
          <w:cantSplit/>
        </w:trPr>
        <w:tc>
          <w:tcPr>
            <w:tcW w:w="817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276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</w:trPr>
        <w:tc>
          <w:tcPr>
            <w:tcW w:w="817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  <w:lang w:val="en-US"/>
              </w:rPr>
              <w:t>2304</w:t>
            </w:r>
            <w:r w:rsidRPr="009C0191">
              <w:rPr>
                <w:rFonts w:ascii="Times New Roman" w:hAnsi="Times New Roman" w:cs="Times New Roman"/>
              </w:rPr>
              <w:t>,</w:t>
            </w:r>
            <w:r w:rsidRPr="009C01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191">
              <w:rPr>
                <w:rFonts w:ascii="Times New Roman" w:hAnsi="Times New Roman" w:cs="Times New Roman"/>
                <w:lang w:val="en-US"/>
              </w:rPr>
              <w:t>2304</w:t>
            </w:r>
            <w:r w:rsidRPr="009C0191">
              <w:rPr>
                <w:rFonts w:ascii="Times New Roman" w:hAnsi="Times New Roman" w:cs="Times New Roman"/>
              </w:rPr>
              <w:t>,</w:t>
            </w:r>
            <w:r w:rsidRPr="009C01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276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276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4274,0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4274,0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Всего </w:t>
            </w:r>
          </w:p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24162,7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24162,7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 w:val="restart"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7E48" w:rsidRPr="00347B82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1156,1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1156,1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1C6506" w:rsidRPr="00227E1B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9C0191" w:rsidRPr="00347B82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2361,4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2361,4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20318,4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20318,4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 w:val="restart"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9C0191" w:rsidRPr="00905B1C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9C0191" w:rsidRPr="00347B82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21557,4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21557,4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27744,3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27744,3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 w:val="restart"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25530,7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7246,7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1C6506" w:rsidRPr="002A5E65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9C0191" w:rsidRPr="00905B1C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9C0191" w:rsidRPr="000F7550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9C0191" w:rsidRPr="000F755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CF31C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9C0191" w:rsidRPr="00CF31C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2179,0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23157,9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1157,9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9C0191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CF31C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9C0191" w:rsidRPr="00CF31C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9C019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17383,3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1383,3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9C0191" w:rsidRPr="00287901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2636CC" w:rsidRDefault="009C0191" w:rsidP="009C019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9C0191" w:rsidRPr="002636CC" w:rsidRDefault="009C0191" w:rsidP="009C019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3435,9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3435,9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3551,4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3551,4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FE7E48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9C0191" w:rsidRPr="009F0BB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9F0BBC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9F0BBC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9C0191" w:rsidRPr="003B5778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2884,0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2884,0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4376,6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4376,6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2A7BED" w:rsidRPr="009F0BBC" w:rsidRDefault="002A7BED" w:rsidP="002A7B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2A7BED" w:rsidRPr="00184E4F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  <w:color w:val="000000"/>
              </w:rPr>
              <w:t xml:space="preserve">Водно-спортивная гребная база, </w:t>
            </w:r>
            <w:r w:rsidRPr="00184E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расположенная по адресу: Краснодарский край, г. Темрюк, ул. Холодова, 15</w:t>
            </w: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2A7BED" w:rsidRPr="009F0BBC" w:rsidRDefault="002A7BED" w:rsidP="002A7BED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2A7BED" w:rsidRPr="009F0BBC" w:rsidRDefault="002A7BED" w:rsidP="002A7BED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30605,9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4371,9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15253,2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13117,0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2136,2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45859,1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39351,0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6508,1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5E4AEA" w:rsidRDefault="009C0191" w:rsidP="009C0191">
            <w:pPr>
              <w:jc w:val="center"/>
              <w:outlineLvl w:val="0"/>
              <w:rPr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1984" w:type="dxa"/>
            <w:vMerge w:val="restart"/>
          </w:tcPr>
          <w:p w:rsidR="009C0191" w:rsidRPr="005E4AEA" w:rsidRDefault="009C0191" w:rsidP="009C0191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9C0191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191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85722,5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57488,5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191">
              <w:rPr>
                <w:rFonts w:ascii="Times New Roman" w:hAnsi="Times New Roman" w:cs="Times New Roman"/>
                <w:lang w:eastAsia="en-US"/>
              </w:rPr>
              <w:t>373023,1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19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191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191">
              <w:rPr>
                <w:rFonts w:ascii="Times New Roman" w:hAnsi="Times New Roman" w:cs="Times New Roman"/>
                <w:lang w:eastAsia="en-US"/>
              </w:rPr>
              <w:t>237065,1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E48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93538,8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65304,8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hAnsi="Times New Roman" w:cs="Times New Roman"/>
                <w:lang w:eastAsia="en-US"/>
              </w:rPr>
              <w:t>380839,4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hAnsi="Times New Roman" w:cs="Times New Roman"/>
                <w:lang w:eastAsia="en-US"/>
              </w:rPr>
              <w:t>244881,4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10" w:rsidRDefault="00C84710" w:rsidP="00DC78B6">
      <w:r>
        <w:separator/>
      </w:r>
    </w:p>
  </w:endnote>
  <w:endnote w:type="continuationSeparator" w:id="0">
    <w:p w:rsidR="00C84710" w:rsidRDefault="00C84710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8"/>
      <w:jc w:val="center"/>
    </w:pPr>
  </w:p>
  <w:p w:rsidR="00C01BEF" w:rsidRDefault="00C01B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10" w:rsidRDefault="00C84710" w:rsidP="00DC78B6">
      <w:r>
        <w:separator/>
      </w:r>
    </w:p>
  </w:footnote>
  <w:footnote w:type="continuationSeparator" w:id="0">
    <w:p w:rsidR="00C84710" w:rsidRDefault="00C84710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191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3834"/>
    <w:rsid w:val="00107976"/>
    <w:rsid w:val="00117D3C"/>
    <w:rsid w:val="00153D02"/>
    <w:rsid w:val="00160852"/>
    <w:rsid w:val="00163CAE"/>
    <w:rsid w:val="00174AB2"/>
    <w:rsid w:val="00175FE6"/>
    <w:rsid w:val="00184996"/>
    <w:rsid w:val="00184E4F"/>
    <w:rsid w:val="00192842"/>
    <w:rsid w:val="001B489A"/>
    <w:rsid w:val="001C6506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A7BED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170CC"/>
    <w:rsid w:val="00926AE6"/>
    <w:rsid w:val="009344BA"/>
    <w:rsid w:val="00934F8D"/>
    <w:rsid w:val="009459AD"/>
    <w:rsid w:val="0095482B"/>
    <w:rsid w:val="0096385D"/>
    <w:rsid w:val="00994744"/>
    <w:rsid w:val="009A7106"/>
    <w:rsid w:val="009C0191"/>
    <w:rsid w:val="009D3218"/>
    <w:rsid w:val="009E08A8"/>
    <w:rsid w:val="009E3566"/>
    <w:rsid w:val="009F0BBC"/>
    <w:rsid w:val="00A06676"/>
    <w:rsid w:val="00A122BD"/>
    <w:rsid w:val="00A537CA"/>
    <w:rsid w:val="00A620F2"/>
    <w:rsid w:val="00A669C0"/>
    <w:rsid w:val="00A77222"/>
    <w:rsid w:val="00AA3CE8"/>
    <w:rsid w:val="00B16F87"/>
    <w:rsid w:val="00B25187"/>
    <w:rsid w:val="00B377EC"/>
    <w:rsid w:val="00B63F7A"/>
    <w:rsid w:val="00B72087"/>
    <w:rsid w:val="00B76402"/>
    <w:rsid w:val="00B84A1F"/>
    <w:rsid w:val="00B91921"/>
    <w:rsid w:val="00B9602D"/>
    <w:rsid w:val="00BC184E"/>
    <w:rsid w:val="00BD2495"/>
    <w:rsid w:val="00BD675D"/>
    <w:rsid w:val="00BE0A1C"/>
    <w:rsid w:val="00BF4EFC"/>
    <w:rsid w:val="00BF6619"/>
    <w:rsid w:val="00C0108A"/>
    <w:rsid w:val="00C01BEF"/>
    <w:rsid w:val="00C12243"/>
    <w:rsid w:val="00C67003"/>
    <w:rsid w:val="00C84710"/>
    <w:rsid w:val="00C859CC"/>
    <w:rsid w:val="00CA2D26"/>
    <w:rsid w:val="00CC16B6"/>
    <w:rsid w:val="00CC757E"/>
    <w:rsid w:val="00CE635C"/>
    <w:rsid w:val="00CF6E58"/>
    <w:rsid w:val="00D154C0"/>
    <w:rsid w:val="00D325BE"/>
    <w:rsid w:val="00D47C77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54C1E"/>
    <w:rsid w:val="00E749E9"/>
    <w:rsid w:val="00EB364E"/>
    <w:rsid w:val="00EB458F"/>
    <w:rsid w:val="00F00B84"/>
    <w:rsid w:val="00F00CB0"/>
    <w:rsid w:val="00F073E2"/>
    <w:rsid w:val="00F11C2D"/>
    <w:rsid w:val="00F93031"/>
    <w:rsid w:val="00FB0CBA"/>
    <w:rsid w:val="00FC2F7E"/>
    <w:rsid w:val="00FC3752"/>
    <w:rsid w:val="00FE7E48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1F22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30</Pages>
  <Words>6996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50</cp:revision>
  <dcterms:created xsi:type="dcterms:W3CDTF">2020-01-17T12:39:00Z</dcterms:created>
  <dcterms:modified xsi:type="dcterms:W3CDTF">2021-11-09T07:43:00Z</dcterms:modified>
</cp:coreProperties>
</file>