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(в редакции   постановления </w:t>
      </w:r>
    </w:p>
    <w:p w:rsidR="00AE6C82" w:rsidRPr="00EE0239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ab/>
      </w:r>
      <w:r w:rsidRPr="00EE0239">
        <w:rPr>
          <w:rFonts w:ascii="Times New Roman" w:hAnsi="Times New Roman"/>
          <w:bCs/>
          <w:sz w:val="28"/>
          <w:szCs w:val="28"/>
        </w:rPr>
        <w:tab/>
      </w:r>
      <w:r w:rsidR="00AE6C82" w:rsidRPr="00EE0239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EE0239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</w:t>
      </w:r>
      <w:r w:rsidR="0022500A">
        <w:rPr>
          <w:rFonts w:ascii="Times New Roman" w:hAnsi="Times New Roman"/>
          <w:bCs/>
          <w:sz w:val="28"/>
          <w:szCs w:val="28"/>
        </w:rPr>
        <w:t>о</w:t>
      </w:r>
      <w:r w:rsidR="00253FA9">
        <w:rPr>
          <w:rFonts w:ascii="Times New Roman" w:hAnsi="Times New Roman"/>
          <w:bCs/>
          <w:sz w:val="28"/>
          <w:szCs w:val="28"/>
        </w:rPr>
        <w:t>т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7646D9">
        <w:rPr>
          <w:rFonts w:ascii="Times New Roman" w:hAnsi="Times New Roman"/>
          <w:bCs/>
          <w:sz w:val="28"/>
          <w:szCs w:val="28"/>
        </w:rPr>
        <w:t xml:space="preserve">8 июня </w:t>
      </w:r>
      <w:r w:rsidR="00AE6C82" w:rsidRPr="00EE0239">
        <w:rPr>
          <w:rFonts w:ascii="Times New Roman" w:hAnsi="Times New Roman"/>
          <w:bCs/>
          <w:sz w:val="28"/>
          <w:szCs w:val="28"/>
        </w:rPr>
        <w:t>20</w:t>
      </w:r>
      <w:r w:rsidR="00322D02" w:rsidRPr="00EE0239">
        <w:rPr>
          <w:rFonts w:ascii="Times New Roman" w:hAnsi="Times New Roman"/>
          <w:bCs/>
          <w:sz w:val="28"/>
          <w:szCs w:val="28"/>
        </w:rPr>
        <w:t>2</w:t>
      </w:r>
      <w:r w:rsidR="007B11E8">
        <w:rPr>
          <w:rFonts w:ascii="Times New Roman" w:hAnsi="Times New Roman"/>
          <w:bCs/>
          <w:sz w:val="28"/>
          <w:szCs w:val="28"/>
        </w:rPr>
        <w:t>1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года №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7646D9">
        <w:rPr>
          <w:rFonts w:ascii="Times New Roman" w:hAnsi="Times New Roman"/>
          <w:bCs/>
          <w:sz w:val="28"/>
          <w:szCs w:val="28"/>
        </w:rPr>
        <w:t>811</w:t>
      </w:r>
      <w:bookmarkStart w:id="0" w:name="_GoBack"/>
      <w:bookmarkEnd w:id="0"/>
      <w:r w:rsidR="00D62068" w:rsidRPr="00EE0239">
        <w:rPr>
          <w:rFonts w:ascii="Times New Roman" w:hAnsi="Times New Roman"/>
          <w:bCs/>
          <w:sz w:val="28"/>
          <w:szCs w:val="28"/>
        </w:rPr>
        <w:t>)</w:t>
      </w:r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Pr="00EE0239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Прогнозируемый объем финансирования муниципальной программы - 12856947,0 тысяч рублей, в том числе по годам: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- 1497477,0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- 1420957,8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- 1507838,9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- 1533427,1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- 1675922,3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- 1742259,1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- 1695493,1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2023 год - 1783571,7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местного бюджета - 4699585,4 тысяч рублей, в том числе по годам: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- 467104,0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- 469201,5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- 637396,2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- 576465,3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- 632180,5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 636792,1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- 589929,0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2023 год - 690516,8 </w:t>
            </w: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тысяч рублей;  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краевого бюджета планируется привлечь 7799433,8 тысяч рублей, в том числе по годам: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- 1026294,9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2017 год - 950301,2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2018 год - 870442,7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- 952350,3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- 1006469,8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- 1004626,6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- 998903,0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2023 год -  990045,3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из средств федерального бюджета - 357927,8 тысяч рублей, в том числе по годам: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2016 год - 4078,1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2017 год - 1455,1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2019 год - 4611,5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2020 год - 37272,0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2021 год - 100840,4 тысяч рублей;</w:t>
            </w:r>
          </w:p>
          <w:p w:rsidR="00151FD9" w:rsidRPr="00151FD9" w:rsidRDefault="00151FD9" w:rsidP="00151FD9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2022 год - 106661,1 тысяч рублей;</w:t>
            </w:r>
          </w:p>
          <w:p w:rsidR="00EE0239" w:rsidRPr="00151FD9" w:rsidRDefault="00151FD9" w:rsidP="00151FD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151FD9">
              <w:rPr>
                <w:bCs/>
                <w:sz w:val="28"/>
                <w:szCs w:val="28"/>
                <w:lang w:eastAsia="ru-RU"/>
              </w:rPr>
              <w:t>2023 год - 103009,6 тысяч рублей</w:t>
            </w:r>
          </w:p>
        </w:tc>
      </w:tr>
      <w:tr w:rsidR="00EE0239" w:rsidRPr="00EE0239" w:rsidTr="00972313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EE0239" w:rsidRPr="00EE0239" w:rsidRDefault="00EE0239" w:rsidP="00EE02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EE0239" w:rsidRPr="00EE0239" w:rsidRDefault="00EE0239" w:rsidP="00EE0239">
            <w:pPr>
              <w:rPr>
                <w:lang w:eastAsia="en-US"/>
              </w:rPr>
            </w:pPr>
          </w:p>
        </w:tc>
      </w:tr>
    </w:tbl>
    <w:p w:rsidR="00904453" w:rsidRPr="00EE0239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EE0239">
        <w:rPr>
          <w:rFonts w:ascii="Times New Roman" w:hAnsi="Times New Roman"/>
          <w:b/>
          <w:sz w:val="28"/>
          <w:szCs w:val="28"/>
        </w:rPr>
        <w:t>Х</w:t>
      </w:r>
      <w:r w:rsidR="00930B6D" w:rsidRPr="00EE0239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EE0239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EE0239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EE0239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on-line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Вместе с тем в отдельных школах района уровень качества знаний уступает среднекраевому,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следовательно,  небольшим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Требует дальнейшего совершенствования система оценки качества образования в районе в рамках общекраевой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значительное  увеличение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9  месяцев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9  месяцев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Заработная плата педагогов учреждений дополнительного образования по итогам 9  месяцев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района,  осуществляется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На вопросы обеспечения безопасности в образовательных организациях в системе выделяются значительные средства (с 2015 года ежегодно выделялось соответственно:  17,2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организаций  работниками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учреждений предприняли все возможные меры по укреплению ограждений территорий и недопустимости  на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Все общеобразовательные учреждения оснащены системой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Остаётся актуальным ряд проблем, но наиболее важными являются:  определение категории помещений по пожароопасности,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с  2021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Pr="00EE0239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0B6D" w:rsidRPr="00EE0239" w:rsidRDefault="00930B6D" w:rsidP="00930B6D">
      <w:pPr>
        <w:pStyle w:val="a4"/>
      </w:pP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</w:t>
      </w:r>
      <w:r w:rsidRPr="00EE0239">
        <w:rPr>
          <w:rFonts w:ascii="Times New Roman" w:hAnsi="Times New Roman"/>
          <w:sz w:val="28"/>
          <w:szCs w:val="28"/>
        </w:rPr>
        <w:lastRenderedPageBreak/>
        <w:t xml:space="preserve">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>муниципальными организациями, в том числе путем совершенствования   муниципальных заданий на оказание  муниципальных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Ста-тус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коли-чество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2 – целевой показатель рассчитывается по методике, утвержденной приказом Минобрнауки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 = Чд/Чо,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системы образования Темрюкского района высококва-лифицированными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Ддпф = Чдпф/Чо,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Ддпф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Чдпф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Чо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151FD9" w:rsidRPr="00151FD9" w:rsidTr="0024248F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Годы реализа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Непосредствен-ный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Заказчик,  главный распоряди-тель (рас-поряди-тель) бюджетных средств, ис-полнитель</w:t>
            </w:r>
          </w:p>
        </w:tc>
      </w:tr>
      <w:tr w:rsidR="00151FD9" w:rsidRPr="00151FD9" w:rsidTr="0024248F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1FD9" w:rsidRPr="00151FD9" w:rsidTr="0024248F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феде-ральный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вне-бюд-жет-ные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51FD9" w:rsidRPr="00151FD9" w:rsidTr="0024248F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151FD9" w:rsidRPr="00151FD9" w:rsidTr="0024248F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151FD9" w:rsidRPr="00151FD9" w:rsidTr="0024248F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функционирования об-разовательных органи-заций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1608638,7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998726,6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509071,7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11934363,3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7753780,0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3822655,5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ст. Старотитаров-</w:t>
            </w:r>
          </w:p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–админист-рация му-ниципаль-ного образова-ния Темрюкский район (далее –АМОТР), глав</w:t>
            </w:r>
          </w:p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ный распоря-дитель – </w:t>
            </w:r>
          </w:p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образова-нием администра-ции муници-пального образова-ния Темрюк-ский район (далее – УО), испол-нители – образова-тельные организа-ции (далее – ОО)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государственной (итоговой) аттестации, в том числе софинанси-рование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неза-висимой объек-тивной оценки качества знаний выпускников 9, 11(12) классов в соответствии с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нормативными требованиями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 –АМОТР, главный распоряди-тель –УО, исполни-тели - ОО</w:t>
            </w:r>
          </w:p>
        </w:tc>
      </w:tr>
      <w:tr w:rsidR="00151FD9" w:rsidRPr="00151FD9" w:rsidTr="0024248F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32693,8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31707,5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без-лимитного круг-лосуточного ско-ростного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Капитальный, текущий ремонт  в 87  ОО за счет местного бюджета, приобретение оборудования образовательным учреждениям, текущий ремонт площадок. Капи-тальный, текущий ремонт, оснащение за счет краевого бюджета в 14 ОО в 2017 году, в 11 ОО в 2018 году, 5 ОО в 2019 году, 7 ОО в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2020 году, 11 ОО в 2021 году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68819,2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6240,0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62579,2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553270,3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16400,0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536870,3</w:t>
            </w:r>
          </w:p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на софинансирование рас-ходных обязательств ор-ганов местного само-управления муниципаль-ных образований Крас-нодарского края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образо-вательных организациях в части создания в муниципальных общеоб-разовательных органи-зациях, расположенных в сельской местности, условий для занятий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физической культурой и спортом (капитальный ремонт спортивных за-лов муниципальных об-щеобразовательных ор-ганизаций, расположен-ных в сельской местности)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2371,7</w:t>
            </w:r>
          </w:p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учебно-полевых сборов юношей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практических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главный распоря-дитель – УО, исполни-тели - ОО</w:t>
            </w: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до-школьных образо-вательных органи-заций, внедряю-щих инновацион-ные программы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151FD9" w:rsidRPr="00151FD9" w:rsidTr="0024248F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оборудо-вания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питания учащихся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питания 100%   учащихся  дневных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школ (кроме учащихся на дому)  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распоря-дитель – УО, исполни-тели - ОО</w:t>
            </w:r>
          </w:p>
        </w:tc>
      </w:tr>
      <w:tr w:rsidR="00151FD9" w:rsidRPr="00151FD9" w:rsidTr="0024248F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10273,7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10273,7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107526,2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107526,2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отдельных категорий учащихся  льготным питанием (кроме учащихся на дому)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151FD9" w:rsidRPr="00151FD9" w:rsidTr="0024248F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2481,8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2481,8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8836,5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8836,5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3663,9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3663,9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ставок педаго-гов дополнительного об-разования для работы с детьми в вечернее и ка-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никулярное время в спортивных залах обще-образовательных учреж-дений и учреждений до-полнительного образова-ния физкультурно-спор-тивной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</w:t>
            </w:r>
          </w:p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дитель – УО, исполни-тели - ОО</w:t>
            </w:r>
          </w:p>
        </w:tc>
      </w:tr>
      <w:tr w:rsidR="00151FD9" w:rsidRPr="00151FD9" w:rsidTr="0024248F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ставок педаго-гов дополнительного об-разования в муници-пальных образователь-ных  учреждениях (за исключением вечерних), для непосредственного руководства спортив-ными клубами образова-тельных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детско-юно-шеского туризма (организация и про-ведение многодневых походов учащихся школ)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распоря-дитель – УО, исполни-тели – ОО, МБУ ДО ЦДЮТ и Э </w:t>
            </w: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 обще-доступного и бес-платного дошкольного образования в муниципальных до-школьных образова-тельных организациях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исполни-тели - ОО </w:t>
            </w: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201914,3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201914,3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1384343,1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1384343,1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общедос-тупного и бесплатного   начального общего, ос-новного общего, сред-него общего образо-вания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116483,5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116483,5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932184,5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932184,5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орга-низациях дополни-тельного образования 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151FD9" w:rsidRPr="00151FD9" w:rsidTr="0024248F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92306,3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92306,3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598326,8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598326,8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151FD9" w:rsidRPr="00151FD9" w:rsidTr="0024248F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7288476,6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7288476,6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отдель-ных государственных полномочий по обеспе-чению льготным питани-ем учащихся из много-детных семей в муници-пальных общеобразова-тельных организациях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11463,8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11463,8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отдель-ных  государственных полномочий по обес-печению выплаты ком-пенсации части роди-тельской платы за при-смотр и уход за детьми, посещающими образова-тельные организации, реализующие общеобразовательную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108719,7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108719,7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Общерайонный выпускной бал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общерайонного выпускного бала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исполни-тель -   МКУ «ИМЦ»</w:t>
            </w: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 образовательных учреждений с целью приведения в соответ-ствие с требованиями ФГОС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учебных помещений  32 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фонда опла-ты труда работников муниципальных общеоб-разовательных учреж-дений для доведения заработной платы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предостав-ления дополнительного образования детей (в це-лях доведения средней заработной платы педа-гогических работников  учреждений (органи-заций)  дополнительного образования детей до средней заработной пла-ты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исполни-тели - ОО  </w:t>
            </w: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c>
          <w:tcPr>
            <w:tcW w:w="966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отдель-ных  государственных полномочий по предо-ставлению социальной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поддержки отдельным категориям работников муниципальных физ-культурно- спортивных организаций, осуществ-ляющих подготовку спортивного резерва, и муниципальных образо-вательных учреждений  дополнительного обра-зования детей Красно-дарского края отраслей «Образование» и «Физи-ческая культура и спорт»</w:t>
            </w:r>
          </w:p>
        </w:tc>
        <w:tc>
          <w:tcPr>
            <w:tcW w:w="557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 – УО, исполни-тель – МБОУ ДОД ДЮСШ</w:t>
            </w: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c>
          <w:tcPr>
            <w:tcW w:w="966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отдель-ных полномочий по пре-доставлению мер соци-альной поддержки в ви-де компенсации расхо-дов на оплату жилых помещений, отопления и освещения педагогичес-ким работникам муни-ципальных образова--тельных организаций, расположенных на тер-ритории Краснодар-ского края, прожи-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вающих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8980,6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8980,6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83111,3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83111,3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меропри-ятий по формированию в Краснодарском крае сети общеобразовательных организаций, в которых созданы условия для инклюзивного образова-ния детей-инвалидов в рамках реализации меро-приятий государствен-ной программы Красно-дарского края «Доступ-ная среда»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работников образования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оценка  условий труда согласно  законодательству, проведение энергоаудита, проведение ЛВС, работы в ОО по 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5773,3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5773,3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48357,8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48357,8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928,6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928,6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Тем-рюкский район» (софинансирование 5%).</w:t>
            </w:r>
          </w:p>
          <w:p w:rsidR="00151FD9" w:rsidRPr="00151FD9" w:rsidRDefault="00151FD9" w:rsidP="00151FD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Темрюкский район».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  «Детский сад по пер. Ильича, б/н в ст-це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 строительства детского сада на 280 мест, приобретение  и установка немонтируемого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Заказчик-  АМОТР, главный распоряди-тель– управление капитал-ьного строитель-ства и топливно-энергетического комплекса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школьных автобусов для образовательных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 (софинансирование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3   школь-ных автобусов на новые в соответ-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ствии с требовани-ями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распоряди-тель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глав-ный распоря-дитель – УО,</w:t>
            </w:r>
            <w:r w:rsidRPr="00151FD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капиталь-ного ремонта спортив-ных залов, в том числе: предпроектные и проектные работы; про-верка сметной докумен-тации в ГБУКК «Управ-ление ценообразования в строительстве» департа-мента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   школьных автобусов на</w:t>
            </w:r>
            <w:r w:rsidRPr="00151FD9">
              <w:rPr>
                <w:rFonts w:ascii="Calibri" w:eastAsia="Times New Roman" w:hAnsi="Calibri" w:cs="Times New Roman"/>
              </w:rPr>
              <w:t xml:space="preserve">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в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соотвествии с требованиями к школьным автобусам, в: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году -2;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распоряди-тель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молодых специалистов указанной категории в  виде единовременной выплаты в размере 17241 рубль (с  2020  года – 28736 рублей)</w:t>
            </w:r>
          </w:p>
          <w:p w:rsidR="00151FD9" w:rsidRPr="00151FD9" w:rsidRDefault="00151FD9" w:rsidP="00151FD9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2993,4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2993,4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Компенсационная вып-лата за наем (поднаём) жилья педагогическим и руководящим работни-кам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квалифицирован-ными кадрами школ района  за счет социальной поддержки, ежегодно 15 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испол-нители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спортивных залов муниципальных общеобразовательных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организаций, помещений при них, других помещений физкуль-турно-спортивного назначения, физкуль-турно-оздоровительных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Приведены в соответствие к современным требованиям спортивные залы в: 2018 году - 3 школы;  2019 – 4 школы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субси-дий бюджетам муници-пальных районов (город-ских округов) Красно-дарского края на софинансирование рас-ходных обязательств, возникающих при выполнении полномочий органов местного само-управления  по вопросам местного значения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общеоб-разовательных организа-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циях  (создание условий для первичной медико-санитарной помощи обучающимся в муни-ципальных образовательных организациях посредством предостав-ления помещений, сооветсвующих услови-ям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 условия для лицензиро-вания медицин-ских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муниципальных образовательных организациях, рпсположенных в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Центры «Точка роста»:                   в 2019 году- в 3-х школах;                       в 2020 году – в 1 школе;                           в 2021 году – в 4 школах;                        в 2022 году – в 4 школах. Поддержание функционирова-ния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7383,6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1462,9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материально-технической базы для 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формирования 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рас-порядитель – УО, испол-нители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внедрения в  общеобразовательных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обеспечение непредвиденных расходов по организации  предоставления общедоступного и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софинансирование мероприятий в части  оснащения помещений муниципальных  дошкольных образовательных и общеобразовательных организаций  оборудованием  для обеззараживания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санитарных норм   в образовательных организациях, обеспечение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распоряди-тель – УО,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повышения качества 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охвата детей в возрасте от 5 до 18 лет, имеющих право на получение дополнительного образования в рамках системы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персонифицированного финансирования   дополнительного образования, на уровне  22,22% в 2020 г., 25% в 2021-2023 г.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распоряди-тель – УО,  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1.1.51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Денежная компенсация за двухразовое питание для детей, получающих образование на дому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ind w:right="-29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двухразового питания для детей, обучающихся на дому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 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1.1.52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переоснащение пищевых блоков муниципальных общеобразовательных организаций – 1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 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соответствие с действующим законодательством  материально-технической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40376,2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40376,2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287789,7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276457,9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повышению противопожарной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в соответствие с требованиями 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исполни-тели - ОО 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5110,0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5110,0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63630,8</w:t>
            </w:r>
          </w:p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63630,8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4466,2</w:t>
            </w:r>
          </w:p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11 ОО в 2016 году;</w:t>
            </w:r>
          </w:p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27 – в 2017г,</w:t>
            </w:r>
          </w:p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33 – в 2018 г.,</w:t>
            </w:r>
          </w:p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распоря-дитель – УО, исполни-тели - ОО 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11700,0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11700,0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87665,0</w:t>
            </w:r>
          </w:p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87665,0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  систем видеонаблюдения в образовательных организациях, их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обслуживание, в том числе софинансирование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2016 году - 7 ОО; 2017, 2018 годы- 90; 2019 год-  - 89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 –АМОТР, главный распоряди-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5520,5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5520,5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18296,7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18296,7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151FD9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вывод сигнала на пульт 01,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2016 году–75 ОО, обслуживание:  2017 г – 88 ОО, 2018-2019г  - 89 ОО; 2020-2023 г. – 90 ОО. 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38280,8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38280,8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 ОО- в 2016 г.,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 ОО- в 2017 г,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ОО- в 2018 г, 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ОО- в 2019 г,       6 ОО- в 2020,   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по  4 ОО – в 2021-2023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8656,3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8656,3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52220,5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40888,7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средств тревожной сигнализации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вневедомственной ох-раной, техническое об-служивание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«тревожной»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кнопки в 2-х  ОО,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главный распоряди-тель – УО, исполни-тели - ОО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4775,4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4775,4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23229,7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23229,7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организационных, информационных и 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93244,2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87344,2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634794,0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600472,0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Сокращение количества пред-писаний надзор-ных органов, повышение качества образо-вания, повышение эффективности </w:t>
            </w: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Заказчик-АМОТР,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распоряди-тель и исполни-тель - УО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10642,9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10642,9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81805,5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81805,5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коли-чества предпи-саний надзорных органов,  повыше-ние качества обра-зования, повыше-ние эффектив-ности использо-вания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Заказчик-АМОТР, 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распоряди-тель -УО, исполни-тели МКУ «ИМЦ», МКУ «ЦБ УО», МКУ ЦУМТБО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76459,7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82489,7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76589,7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552189,3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517867,3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на курсах повышения квалификации не менее 320 педаго-гических и руко-водящих работ-ника ОО,  МКУ ИМЦ, УО</w:t>
            </w:r>
          </w:p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распоряди-тель – УО, исполни-тели - ОО, МКУ ИМЦ» , УО  </w:t>
            </w: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799,2</w:t>
            </w:r>
          </w:p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799,2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1742259,1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1004626,6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636792,1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FD9" w:rsidRPr="00151FD9" w:rsidTr="0024248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12856947,0</w:t>
            </w:r>
          </w:p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7799433,8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4699585,4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0DCC" w:rsidRPr="00EE0239" w:rsidRDefault="00D70DCC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5073D6" w:rsidRDefault="003F102E" w:rsidP="00911BE3">
      <w:pPr>
        <w:pStyle w:val="a4"/>
        <w:ind w:firstLine="709"/>
        <w:rPr>
          <w:color w:val="000000" w:themeColor="text1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151FD9" w:rsidRPr="00151FD9" w:rsidTr="0024248F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</w:p>
        </w:tc>
      </w:tr>
      <w:tr w:rsidR="00151FD9" w:rsidRPr="00151FD9" w:rsidTr="0024248F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151FD9" w:rsidRPr="00151FD9" w:rsidTr="0024248F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151FD9" w:rsidRPr="00151FD9" w:rsidTr="0024248F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151FD9" w:rsidRPr="00151FD9" w:rsidTr="0024248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1FD9" w:rsidRPr="00151FD9" w:rsidTr="0024248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1FD9" w:rsidRPr="00151FD9" w:rsidTr="0024248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1FD9" w:rsidRPr="00151FD9" w:rsidTr="0024248F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1FD9" w:rsidRPr="00151FD9" w:rsidTr="0024248F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1FD9" w:rsidRPr="00151FD9" w:rsidTr="0024248F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1742259,1</w:t>
            </w:r>
          </w:p>
        </w:tc>
        <w:tc>
          <w:tcPr>
            <w:tcW w:w="2126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1004626,6</w:t>
            </w:r>
          </w:p>
        </w:tc>
        <w:tc>
          <w:tcPr>
            <w:tcW w:w="1843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636792,1</w:t>
            </w:r>
          </w:p>
        </w:tc>
        <w:tc>
          <w:tcPr>
            <w:tcW w:w="2479" w:type="dxa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1FD9" w:rsidRPr="00151FD9" w:rsidTr="0024248F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1FD9" w:rsidRPr="00151FD9" w:rsidTr="0024248F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1783571,7</w:t>
            </w:r>
          </w:p>
        </w:tc>
        <w:tc>
          <w:tcPr>
            <w:tcW w:w="2126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51FD9" w:rsidRPr="00151FD9" w:rsidTr="0024248F">
        <w:trPr>
          <w:trHeight w:val="182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12856947,0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7799433,8</w:t>
            </w:r>
          </w:p>
        </w:tc>
        <w:tc>
          <w:tcPr>
            <w:tcW w:w="1843" w:type="dxa"/>
            <w:shd w:val="clear" w:color="auto" w:fill="auto"/>
          </w:tcPr>
          <w:p w:rsidR="00151FD9" w:rsidRPr="00151FD9" w:rsidRDefault="00151FD9" w:rsidP="0015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4699585,4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151FD9" w:rsidRPr="00151FD9" w:rsidRDefault="00151FD9" w:rsidP="00151FD9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F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софинансирования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софинансирования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r w:rsidRPr="00EE0239">
        <w:rPr>
          <w:rFonts w:ascii="Times New Roman" w:hAnsi="Times New Roman"/>
          <w:sz w:val="28"/>
          <w:szCs w:val="28"/>
        </w:rPr>
        <w:t xml:space="preserve">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Темрюкский район                                                                              О.В. Дяденко</w:t>
      </w:r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96" w:rsidRDefault="00AF6F96" w:rsidP="004A1E78">
      <w:pPr>
        <w:spacing w:after="0" w:line="240" w:lineRule="auto"/>
      </w:pPr>
      <w:r>
        <w:separator/>
      </w:r>
    </w:p>
  </w:endnote>
  <w:endnote w:type="continuationSeparator" w:id="0">
    <w:p w:rsidR="00AF6F96" w:rsidRDefault="00AF6F96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D9" w:rsidRDefault="007646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96" w:rsidRDefault="00AF6F96" w:rsidP="004A1E78">
      <w:pPr>
        <w:spacing w:after="0" w:line="240" w:lineRule="auto"/>
      </w:pPr>
      <w:r>
        <w:separator/>
      </w:r>
    </w:p>
  </w:footnote>
  <w:footnote w:type="continuationSeparator" w:id="0">
    <w:p w:rsidR="00AF6F96" w:rsidRDefault="00AF6F96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6D9" w:rsidRPr="00216C70" w:rsidRDefault="00764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186468">
          <w:rPr>
            <w:rFonts w:ascii="Times New Roman" w:hAnsi="Times New Roman"/>
            <w:noProof/>
            <w:sz w:val="28"/>
            <w:szCs w:val="28"/>
          </w:rPr>
          <w:t>2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46D9" w:rsidRDefault="007646D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D9" w:rsidRPr="00950B27" w:rsidRDefault="007646D9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7646D9" w:rsidRDefault="007646D9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7646D9" w:rsidRPr="00C56C70" w:rsidRDefault="007646D9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86468" w:rsidRPr="00186468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7646D9" w:rsidRPr="00C56C70" w:rsidRDefault="007646D9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186468" w:rsidRPr="00186468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D9" w:rsidRPr="002F5800" w:rsidRDefault="007646D9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7646D9" w:rsidRDefault="007646D9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7646D9" w:rsidRPr="005D0D20" w:rsidRDefault="007646D9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86468" w:rsidRPr="0018646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13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7646D9" w:rsidRPr="005D0D20" w:rsidRDefault="007646D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186468" w:rsidRPr="00186468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13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6D9" w:rsidRPr="000761FE" w:rsidRDefault="00764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151FD9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46D9" w:rsidRDefault="007646D9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46D9" w:rsidRPr="002F5800" w:rsidRDefault="007646D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186468">
          <w:rPr>
            <w:rFonts w:ascii="Times New Roman" w:hAnsi="Times New Roman"/>
            <w:noProof/>
            <w:sz w:val="28"/>
            <w:szCs w:val="28"/>
          </w:rPr>
          <w:t>51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46D9" w:rsidRDefault="007646D9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7646D9" w:rsidRPr="00F91CF6" w:rsidRDefault="007646D9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7646D9" w:rsidRPr="00F91CF6" w:rsidRDefault="007646D9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926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0577"/>
    <w:rsid w:val="000E3F6E"/>
    <w:rsid w:val="000E4EB8"/>
    <w:rsid w:val="000E728F"/>
    <w:rsid w:val="000F1070"/>
    <w:rsid w:val="000F5164"/>
    <w:rsid w:val="00100673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1FD9"/>
    <w:rsid w:val="001522ED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6468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A48"/>
    <w:rsid w:val="00215BDB"/>
    <w:rsid w:val="00215CA1"/>
    <w:rsid w:val="00216C70"/>
    <w:rsid w:val="0022188F"/>
    <w:rsid w:val="002220A0"/>
    <w:rsid w:val="0022500A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53FA9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B3E4E"/>
    <w:rsid w:val="003C2E81"/>
    <w:rsid w:val="003C3E2F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073D6"/>
    <w:rsid w:val="0051002E"/>
    <w:rsid w:val="00510C4B"/>
    <w:rsid w:val="0051153E"/>
    <w:rsid w:val="0051252F"/>
    <w:rsid w:val="00513E99"/>
    <w:rsid w:val="0052372B"/>
    <w:rsid w:val="0053274C"/>
    <w:rsid w:val="00536CF7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673"/>
    <w:rsid w:val="0059414C"/>
    <w:rsid w:val="005A00CA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083D"/>
    <w:rsid w:val="007646D9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40FC"/>
    <w:rsid w:val="008C4903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50B27"/>
    <w:rsid w:val="00952E4E"/>
    <w:rsid w:val="00955459"/>
    <w:rsid w:val="00955FDB"/>
    <w:rsid w:val="00960D35"/>
    <w:rsid w:val="00962FD6"/>
    <w:rsid w:val="009643A3"/>
    <w:rsid w:val="00966BA9"/>
    <w:rsid w:val="00970730"/>
    <w:rsid w:val="00972313"/>
    <w:rsid w:val="009737D5"/>
    <w:rsid w:val="00975D88"/>
    <w:rsid w:val="00980F16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3303"/>
    <w:rsid w:val="00A747AA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0F97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AF6F96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0320"/>
    <w:rsid w:val="00B61170"/>
    <w:rsid w:val="00B612EF"/>
    <w:rsid w:val="00B648B1"/>
    <w:rsid w:val="00B65611"/>
    <w:rsid w:val="00B75F10"/>
    <w:rsid w:val="00B858EE"/>
    <w:rsid w:val="00B878D1"/>
    <w:rsid w:val="00B91D47"/>
    <w:rsid w:val="00B924EC"/>
    <w:rsid w:val="00B92BA9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475ED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4D6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446E"/>
    <w:rsid w:val="00D81829"/>
    <w:rsid w:val="00D8259D"/>
    <w:rsid w:val="00D85EE3"/>
    <w:rsid w:val="00D87216"/>
    <w:rsid w:val="00D90D23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6E0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4237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20EB"/>
    <w:rsid w:val="00EE2BDC"/>
    <w:rsid w:val="00EE35B8"/>
    <w:rsid w:val="00EE4856"/>
    <w:rsid w:val="00EE5C30"/>
    <w:rsid w:val="00EF091E"/>
    <w:rsid w:val="00EF0C08"/>
    <w:rsid w:val="00EF18BB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808DC"/>
    <w:rsid w:val="00F83C3A"/>
    <w:rsid w:val="00F86201"/>
    <w:rsid w:val="00F90606"/>
    <w:rsid w:val="00F91CF6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9765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  <w:style w:type="numbering" w:customStyle="1" w:styleId="201">
    <w:name w:val="Нет списка20"/>
    <w:next w:val="a2"/>
    <w:uiPriority w:val="99"/>
    <w:semiHidden/>
    <w:unhideWhenUsed/>
    <w:rsid w:val="009643A3"/>
  </w:style>
  <w:style w:type="table" w:customStyle="1" w:styleId="27">
    <w:name w:val="Сетка таблицы27"/>
    <w:basedOn w:val="a1"/>
    <w:next w:val="ad"/>
    <w:uiPriority w:val="99"/>
    <w:rsid w:val="0096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d"/>
    <w:uiPriority w:val="59"/>
    <w:rsid w:val="009643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643A3"/>
  </w:style>
  <w:style w:type="numbering" w:customStyle="1" w:styleId="240">
    <w:name w:val="Нет списка24"/>
    <w:next w:val="a2"/>
    <w:uiPriority w:val="99"/>
    <w:semiHidden/>
    <w:unhideWhenUsed/>
    <w:rsid w:val="009643A3"/>
  </w:style>
  <w:style w:type="numbering" w:customStyle="1" w:styleId="115">
    <w:name w:val="Нет списка115"/>
    <w:next w:val="a2"/>
    <w:uiPriority w:val="99"/>
    <w:semiHidden/>
    <w:unhideWhenUsed/>
    <w:rsid w:val="009643A3"/>
  </w:style>
  <w:style w:type="numbering" w:customStyle="1" w:styleId="213">
    <w:name w:val="Нет списка213"/>
    <w:next w:val="a2"/>
    <w:uiPriority w:val="99"/>
    <w:semiHidden/>
    <w:unhideWhenUsed/>
    <w:rsid w:val="009643A3"/>
  </w:style>
  <w:style w:type="numbering" w:customStyle="1" w:styleId="1113">
    <w:name w:val="Нет списка1113"/>
    <w:next w:val="a2"/>
    <w:uiPriority w:val="99"/>
    <w:semiHidden/>
    <w:unhideWhenUsed/>
    <w:rsid w:val="009643A3"/>
  </w:style>
  <w:style w:type="numbering" w:customStyle="1" w:styleId="123">
    <w:name w:val="Нет списка123"/>
    <w:next w:val="a2"/>
    <w:uiPriority w:val="99"/>
    <w:semiHidden/>
    <w:unhideWhenUsed/>
    <w:rsid w:val="009643A3"/>
  </w:style>
  <w:style w:type="numbering" w:customStyle="1" w:styleId="250">
    <w:name w:val="Нет списка25"/>
    <w:next w:val="a2"/>
    <w:uiPriority w:val="99"/>
    <w:semiHidden/>
    <w:unhideWhenUsed/>
    <w:rsid w:val="00151FD9"/>
  </w:style>
  <w:style w:type="table" w:customStyle="1" w:styleId="28">
    <w:name w:val="Сетка таблицы28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151FD9"/>
  </w:style>
  <w:style w:type="table" w:customStyle="1" w:styleId="29">
    <w:name w:val="Сетка таблицы29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51FD9"/>
  </w:style>
  <w:style w:type="table" w:customStyle="1" w:styleId="32">
    <w:name w:val="Сетка таблицы32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51FD9"/>
  </w:style>
  <w:style w:type="table" w:customStyle="1" w:styleId="2120">
    <w:name w:val="Сетка таблицы212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151FD9"/>
  </w:style>
  <w:style w:type="numbering" w:customStyle="1" w:styleId="1114">
    <w:name w:val="Нет списка1114"/>
    <w:next w:val="a2"/>
    <w:uiPriority w:val="99"/>
    <w:semiHidden/>
    <w:unhideWhenUsed/>
    <w:rsid w:val="00151FD9"/>
  </w:style>
  <w:style w:type="numbering" w:customStyle="1" w:styleId="124">
    <w:name w:val="Нет списка124"/>
    <w:next w:val="a2"/>
    <w:uiPriority w:val="99"/>
    <w:semiHidden/>
    <w:unhideWhenUsed/>
    <w:rsid w:val="0015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F4A9-C13B-4AE5-8149-991B923E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13058</Words>
  <Characters>74433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25</cp:revision>
  <cp:lastPrinted>2015-10-30T05:57:00Z</cp:lastPrinted>
  <dcterms:created xsi:type="dcterms:W3CDTF">2020-11-26T11:32:00Z</dcterms:created>
  <dcterms:modified xsi:type="dcterms:W3CDTF">2021-06-16T05:10:00Z</dcterms:modified>
</cp:coreProperties>
</file>