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22500A">
        <w:rPr>
          <w:rFonts w:ascii="Times New Roman" w:hAnsi="Times New Roman"/>
          <w:bCs/>
          <w:sz w:val="28"/>
          <w:szCs w:val="28"/>
        </w:rPr>
        <w:t>о</w:t>
      </w:r>
      <w:r w:rsidR="00253FA9">
        <w:rPr>
          <w:rFonts w:ascii="Times New Roman" w:hAnsi="Times New Roman"/>
          <w:bCs/>
          <w:sz w:val="28"/>
          <w:szCs w:val="28"/>
        </w:rPr>
        <w:t>т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A72357">
        <w:rPr>
          <w:rFonts w:ascii="Times New Roman" w:hAnsi="Times New Roman"/>
          <w:bCs/>
          <w:sz w:val="28"/>
          <w:szCs w:val="28"/>
        </w:rPr>
        <w:t>23</w:t>
      </w:r>
      <w:r w:rsidR="008C14D0">
        <w:rPr>
          <w:rFonts w:ascii="Times New Roman" w:hAnsi="Times New Roman"/>
          <w:bCs/>
          <w:sz w:val="28"/>
          <w:szCs w:val="28"/>
        </w:rPr>
        <w:t xml:space="preserve"> августа</w:t>
      </w:r>
      <w:r w:rsidR="007646D9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8C14D0">
        <w:rPr>
          <w:rFonts w:ascii="Times New Roman" w:hAnsi="Times New Roman"/>
          <w:bCs/>
          <w:sz w:val="28"/>
          <w:szCs w:val="28"/>
        </w:rPr>
        <w:t>1258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5418FF" w:rsidRPr="001C49FD" w:rsidRDefault="008C14D0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418FF" w:rsidRPr="001C49FD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- 12874826,0 тысяч рублей, в том числе по годам: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2021 год - 1760138,1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из средств местного бюджета - 4717059,2 тысяч рублей, в том числе по годам: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2021 год - 654265,9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 xml:space="preserve">2023 год - </w:t>
            </w:r>
            <w:r w:rsidR="00FF7EEB">
              <w:rPr>
                <w:bCs/>
                <w:sz w:val="28"/>
                <w:szCs w:val="28"/>
              </w:rPr>
              <w:t xml:space="preserve">690516,8 </w:t>
            </w:r>
            <w:bookmarkStart w:id="0" w:name="_GoBack"/>
            <w:bookmarkEnd w:id="0"/>
            <w:r w:rsidRPr="001C49FD">
              <w:rPr>
                <w:bCs/>
                <w:sz w:val="28"/>
                <w:szCs w:val="28"/>
              </w:rPr>
              <w:t xml:space="preserve">тысяч рублей;  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из средств краевого бюджета планируется привлечь 7799839,0 тысяч рублей, в том числе по годам: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2021 год - 1005031,8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2016 год - 4078,1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lastRenderedPageBreak/>
              <w:t>2017 год - 1455,1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2019 год - 4611,5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2020 год - 37272,0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5418FF" w:rsidRPr="001C49FD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A86157" w:rsidRDefault="005418FF" w:rsidP="005418FF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C49FD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on-line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школах района уровень качества знаний уступает среднекраевому,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следовательно,  небольшим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Требует дальнейшего совершенствования система оценки качества образования в районе в рамках общекраевой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значительное  увеличение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9  месяцев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9  месяцев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по итогам 9  месяцев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осуществляется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На вопросы обеспечения безопасности в образовательных организациях в системе выделяются значительные средства (с 2015 года ежегодно выделялось соответственно:  17,2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организаций  работниками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Все общеобразовательные учреждения оснащены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Остаётся актуальным ряд проблем, но наиболее важными являются:  определение категории помещений по пожароопасности,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с  2021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>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Ста-тус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коли-чество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EF23F5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8C14D0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2 – целевой показатель рассчитывается по методике, утвержденной приказом Минобрнауки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= Чд/Чо,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системы образования Темрюкского района высококва-лифицированными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= Чдпф/Чо,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Чдпф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pPr w:leftFromText="180" w:rightFromText="180" w:vertAnchor="text" w:tblpX="108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5418FF" w:rsidRPr="001C49FD" w:rsidTr="003E31B3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sz w:val="28"/>
                <w:szCs w:val="28"/>
              </w:rPr>
              <w:t xml:space="preserve">        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 xml:space="preserve"> Годы реализа</w:t>
            </w:r>
            <w:r w:rsidRPr="001C49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1C49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1C49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Непосредствен-ный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Заказчик,  главный распоряди-тель (рас-поряди-тель) бюджетных средств, ис-полнитель</w:t>
            </w:r>
          </w:p>
        </w:tc>
      </w:tr>
      <w:tr w:rsidR="005418FF" w:rsidRPr="001C49FD" w:rsidTr="003E31B3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18FF" w:rsidRPr="001C49FD" w:rsidTr="003E31B3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феде-ральный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вне-бюд-жет-ные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418FF" w:rsidRPr="001C49FD" w:rsidTr="003E31B3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5418FF" w:rsidRPr="001C49FD" w:rsidTr="003E31B3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5418FF" w:rsidRPr="001C49FD" w:rsidTr="003E31B3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об-разовательных органи-заций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1622563,8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999131,8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522591,6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11948288,4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7754185,2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3836175,4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Материально-техничес-кое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ст. Старотитаров-</w:t>
            </w:r>
          </w:p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ской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–админист-рация му-ниципаль-ного образова-ния Темрюкский район (далее –АМОТР), глав</w:t>
            </w:r>
          </w:p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ный распоря-дитель – </w:t>
            </w:r>
          </w:p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управление образова-нием администра-ции муници-пального образова-ния Темрюк-ский район (далее – УО), испол-нители – образова-тельные организа-ции (далее – ОО)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Организация и проведение государственной (итоговой) аттестации, в том числе софинанси-рование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неза-висимой объек-тивной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–УО, исполни-тели - ОО</w:t>
            </w:r>
          </w:p>
        </w:tc>
      </w:tr>
      <w:tr w:rsidR="005418FF" w:rsidRPr="001C49FD" w:rsidTr="003E31B3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4244,2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4244,2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31939,5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30953,2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Наличие без-лимитного круг-лосуточного ско-ростного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Капитальный, текущий ремонт  в 87  ОО за счет местного бюджета, приобретение оборудования образовательным учреждениям, текущий ремонт площадок. Капи-тальный, текущий ремонт, оснащение за счет краевого бюджета в 14 ОО в 2017 году, в 11 ОО в 2018 году, 5 ОО в 2019 году, 7 ОО в 2020 году, 11 ОО в 2021 году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78423,2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72183,2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562874,3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546474,3</w:t>
            </w:r>
          </w:p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 ор-ганов местного само-управления муниципаль-ных образований Крас-нодарского края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образо-вательных организациях в части создания в муниципальных общеоб-разовательных органи-зациях, расположенных в сельской местности, условий для занятий физической культурой и спортом (капитальный ремонт спортивных за-лов муниципальных об-щеобразовательных ор-ганизаций, расположен-ных в сельской местности)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Проведение учебно-полевых сборов юношей 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УО, исполни-тели - ОО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Поощрение до-школьных образо-вательных органи-заций, внедряю-щих инновацион-ные программы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5418FF" w:rsidRPr="001C49FD" w:rsidTr="003E31B3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Приобретение оборудо-вания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Организация питания учащихся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учащихся  дневных школ (кроме учащихся на дому)  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5418FF" w:rsidRPr="001C49FD" w:rsidTr="003E31B3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15109,5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15109,5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112362,0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112362,0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5418FF" w:rsidRPr="001C49FD" w:rsidTr="003E31B3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2692,3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2692,3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9047,0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9047,0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3687,6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3687,6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для работы с детьми в вечернее и ка-никулярное время в спортивных залах обще-образовательных учреж-дений и учреждений до-полнительного образова-ния физкультурно-спор-тивной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5418FF" w:rsidRPr="001C49FD" w:rsidTr="003E31B3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в муници-пальных образователь-ных  учреждениях (за исключением вечерних), для непосредственного руководства спортив-ными клубами образова-тельных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Развитие детско-юно-шеского туризма (организация и про-ведение многодневых походов учащихся школ)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исполни-тели – ОО, МБУ ДО ЦДЮТ и Э 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  обще-доступного и бес-платного дошкольного образования в муниципальных до-школьных образова-тельных организациях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200731,1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200731,1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1383159,9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1383159,9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jc w:val="center"/>
              <w:rPr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Обеспечение   общедос-тупного и бесплатного   начального общего, ос-новного общего, сред-него общего образо-вания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115097,7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115097,7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930798,7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930798,7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jc w:val="center"/>
              <w:rPr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орга-низациях дополни-тельного образования 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5418FF" w:rsidRPr="001C49FD" w:rsidTr="003E31B3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85455,7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85455,7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591476,2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591476,2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5418FF" w:rsidRPr="001C49FD" w:rsidTr="003E31B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Осуществление отдель-ных государственных полномочий по обеспе-чению льготным питани-ем учащихся из много-детных семей в муници-пальных общеобразова-тельных организациях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11513,8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11513,8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Осуществление отдель-ных  государственных полномочий по обес-печению выплаты ком-пенсации части роди-тельской платы за при-смотр и уход за детьми, посещающими образова-тельные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12020,0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104719,7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104719,7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Общерайонный выпускной бал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Проведение общерайонного выпускного бала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исполни-тель -   МКУ «ИМЦ»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приведения в соответ-ствие с требованиями ФГОС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 – УО, исполни-тели - ОО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Увеличение фонда опла-ты труда работников муниципальных общеоб-разовательных учреж-дений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предостав-ления дополнительного образования детей (в це-лях доведения средней заработной платы педа-гогических работников  учреждений (органи-заций)  дополнительного образования детей до средней заработной пла-ты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 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c>
          <w:tcPr>
            <w:tcW w:w="966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Осуществление отдель-ных  государственных полномочий по предо-ставлению социальной поддержки отдельным категориям работников муниципальных физ-культурно- спортивных организаций, осуществ-ляющих подготовку спортивного резерва, и муниципальных образо-вательных учреждений  дополнительного обра-зования детей Красно-дарского края отраслей «Образование» и «Физи-ческая культура и спорт»</w:t>
            </w:r>
          </w:p>
        </w:tc>
        <w:tc>
          <w:tcPr>
            <w:tcW w:w="557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исполни-тель – МБОУ ДОД ДЮСШ</w:t>
            </w: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c>
          <w:tcPr>
            <w:tcW w:w="966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Осуществление отдель-ных полномочий по пре-доставлению мер соци-альной поддержки в ви-де компенсации расхо-дов на оплату жилых помещений, отопления и освещения педагогичес-ким работникам муни-ципальных образова--тельных организаций, расположенных на тер-ритории Краснодар-ского края, прожи-вающих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14090,1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14090,1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88220,8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88220,8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Проведение меропри-ятий по формированию в Краснодарском крае сети общеобразовательных организаций, в которых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созданы условия для инклюзивного образова-ния детей-инвалидов в рамках реализации меро-приятий государствен-ной программы Красно-дарского края «Доступ-ная среда»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энергоаудита,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5773,2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5773,2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48357,7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48357,7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1003,0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Тем-рюкский район» (софинансирование 5%).</w:t>
            </w:r>
          </w:p>
          <w:p w:rsidR="005418FF" w:rsidRPr="001C49FD" w:rsidRDefault="005418FF" w:rsidP="003E31B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Ильича, б/н в ст-це Старотитаровской, Темрюкский район».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  «Детский сад по пер. Ильича, б/н в ст-це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Окончание строительства детского сада на 280 мест, приобретение  и установка немонтируемого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распоряди-тель– управление капитал-ьного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строитель-ства и топливно-энергетического комплекса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(софинансирование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Замена 3   школь-ных автобусов на новые в соответ-ствии с требовани-ями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</w:t>
            </w:r>
            <w:r w:rsidRPr="001C49FD">
              <w:rPr>
                <w:sz w:val="20"/>
                <w:szCs w:val="20"/>
              </w:rPr>
              <w:t xml:space="preserve">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Проведение капиталь-ного ремонта спортив-ных залов, в том числе: предпроектные и проектные работы; про-верка сметной докумен-тации в ГБУКК «Управ-ление ценообразования в строительстве» департа-мента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1C49FD">
              <w:t xml:space="preserve">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t>новые в соотвествии с требованиями к школьным автобусам, в: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Социальная поддержка  молодых специалистов указанной категории в  виде единовременной выплаты в размере 17241 рубль (с  2020  года – 28736 рублей)</w:t>
            </w:r>
          </w:p>
          <w:p w:rsidR="005418FF" w:rsidRPr="001C49FD" w:rsidRDefault="005418FF" w:rsidP="003E31B3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Компенсационная вып-лата за наем (поднаём) жилья педагогическим и руководящим работни-кам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Обеспечение квалифицирован-ными кадрами школ района  за счет социальной поддержки, ежегодно 15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распоря-дитель – УО, испол-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нители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организаций, помещений при них, других помещений физкуль-турно-спортивного назначения, физкуль-турно-оздоровительных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в: 2018 году - 3 школы;  2019 – 4 школы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организа-циях  (создание условий для первичной медико-санитарной помощи обучающимся в муни-ципальных образовательных организациях посредством предостав-ления помещений, сооветсвующих услови-ям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Созданы условия для лицензиро-вания медицин-ских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организациях, рпсположенных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Центры «Точка роста»:   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функционирова-ния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7044,2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1123,5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рас-порядитель – УО, испол-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нители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Создание условий для внедрения в  общеобразовательных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расходов по организации  предоставления общедоступного и 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софинансирование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в образовательных организациях, обеспечение 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Обеспечение выплат ежемесячного денежного вознаграждения за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повышения качества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  <w:jc w:val="both"/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 охвата детей в возрасте от 5 до 18 лет, имеющих право на получение дополнительного образования в рамках системы персонифицированного финансирования   дополнительного образования, на уровне  22,22% в 2020 г., 16% в 2021.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5418FF" w:rsidRPr="001C49FD" w:rsidRDefault="005418FF" w:rsidP="003E31B3">
            <w:pPr>
              <w:pStyle w:val="a4"/>
              <w:jc w:val="both"/>
            </w:pPr>
            <w:r w:rsidRPr="001C49FD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6850,6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6850,6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9936,8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9936,8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  <w:jc w:val="both"/>
              <w:rPr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ind w:right="-29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5418FF" w:rsidRPr="001C49FD" w:rsidRDefault="005418FF" w:rsidP="003E31B3">
            <w:pPr>
              <w:pStyle w:val="15"/>
              <w:jc w:val="both"/>
            </w:pPr>
            <w:r w:rsidRPr="001C49FD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5418FF" w:rsidRPr="001C49FD" w:rsidRDefault="005418FF" w:rsidP="003E31B3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5418FF" w:rsidRPr="001C49FD" w:rsidRDefault="005418FF" w:rsidP="003E31B3">
            <w:pPr>
              <w:pStyle w:val="15"/>
              <w:jc w:val="both"/>
            </w:pPr>
            <w:r w:rsidRPr="001C49FD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pStyle w:val="15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44330,1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44330,1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291743,6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280411,8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противопожарной безопасности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требованиями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тель – УО, исполни-тели - ОО 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8499,4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8499,4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67020,2</w:t>
            </w:r>
          </w:p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67020,2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4466,2</w:t>
            </w:r>
          </w:p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исполни-тели - ОО 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87665,0</w:t>
            </w:r>
          </w:p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Устройство   систем видеонаблюдения в образовательных организациях, их техническое обслуживание, в том числе софинансирование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 2016 году - 7 ОО; 2017, 2018 годы- 90;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1C49FD">
              <w:rPr>
                <w:rFonts w:ascii="Times New Roman" w:hAnsi="Times New Roman" w:cs="Arial"/>
                <w:sz w:val="20"/>
                <w:szCs w:val="20"/>
              </w:rPr>
              <w:lastRenderedPageBreak/>
              <w:t xml:space="preserve">вывод сигнала на пульт 01,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В 2016 году–75 ОО,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обслуживание:  2017 г – 88 ОО, 2018-2019г  - 89 ОО; 2020-2023 г. – 90 ОО. 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распоря-дитель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4306,8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4306,8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37973,6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37973,6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4 ОО- в 2019 г,       6 ОО- в 2020, 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 ОО- в 2021, по  4 ОО – в 2022-2023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9363,6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9363,6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52927,8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41596,0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ох-раной, техническое об-служивание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Установка «тревожной» кнопки в 2-х  ОО,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4939,8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4939,8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23394,1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23394,1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организационных, информационных и методических условий для реализации муниципальной программы, включая </w:t>
            </w:r>
            <w:r w:rsidRPr="001C49FD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надзор-ных органов, повышение качества образо-вания,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Заказчик-АМОТР,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главный распоряди-тель и исполни-тель - УО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Сокращение коли-чества предпи-саний надзорных органов,  повыше-ние качества обра-зования, повыше-ние эффектив-ности использо-вания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главный распоряди-тель -УО, исполни-тели МКУ «ИМЦ», МКУ «ЦБ УО», МКУ ЦУМТБО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Обеспечение системы образования Темрюкского района высококвалифициро-ванными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не менее 320 педаго-гических и руко-водящих работ-ника ОО,  МКУ ИМЦ, УО</w:t>
            </w:r>
          </w:p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ОО, МКУ ИМЦ» , УО  </w:t>
            </w: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799,2</w:t>
            </w:r>
          </w:p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1760138,1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1005031,8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654265,9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18FF" w:rsidRPr="001C49FD" w:rsidTr="003E31B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12874826,0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7799839,0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4717059,2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5418FF" w:rsidRPr="001C49FD" w:rsidTr="003E31B3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1C49F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5418FF" w:rsidRPr="001C49FD" w:rsidTr="003E31B3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5418FF" w:rsidRPr="001C49FD" w:rsidTr="003E31B3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418FF" w:rsidRPr="001C49FD" w:rsidTr="003E31B3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5418FF" w:rsidRPr="001C49FD" w:rsidTr="003E31B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18FF" w:rsidRPr="001C49FD" w:rsidTr="003E31B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18FF" w:rsidRPr="001C49FD" w:rsidTr="003E31B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18FF" w:rsidRPr="001C49FD" w:rsidTr="003E31B3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18FF" w:rsidRPr="001C49FD" w:rsidTr="003E31B3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18FF" w:rsidRPr="001C49FD" w:rsidTr="003E31B3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1760138,1</w:t>
            </w:r>
          </w:p>
        </w:tc>
        <w:tc>
          <w:tcPr>
            <w:tcW w:w="2126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1005031,8</w:t>
            </w:r>
          </w:p>
        </w:tc>
        <w:tc>
          <w:tcPr>
            <w:tcW w:w="1843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654265,9</w:t>
            </w:r>
          </w:p>
        </w:tc>
        <w:tc>
          <w:tcPr>
            <w:tcW w:w="2479" w:type="dxa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18FF" w:rsidRPr="001C49FD" w:rsidTr="003E31B3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18FF" w:rsidRPr="001C49FD" w:rsidTr="003E31B3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18FF" w:rsidRPr="001C49FD" w:rsidTr="003E31B3">
        <w:trPr>
          <w:trHeight w:val="18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12874826,0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7799839,0</w:t>
            </w:r>
          </w:p>
        </w:tc>
        <w:tc>
          <w:tcPr>
            <w:tcW w:w="1843" w:type="dxa"/>
            <w:shd w:val="clear" w:color="auto" w:fill="auto"/>
          </w:tcPr>
          <w:p w:rsidR="005418FF" w:rsidRPr="001C49FD" w:rsidRDefault="005418FF" w:rsidP="003E3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4717059,2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5418FF" w:rsidRPr="001C49FD" w:rsidRDefault="005418FF" w:rsidP="003E31B3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9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софинансирования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софинансирования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="00AF4E46">
        <w:rPr>
          <w:rFonts w:ascii="Times New Roman" w:hAnsi="Times New Roman"/>
          <w:sz w:val="28"/>
          <w:szCs w:val="28"/>
        </w:rPr>
        <w:t xml:space="preserve">согласно Федеральному </w:t>
      </w:r>
      <w:r w:rsidRPr="00EE0239">
        <w:rPr>
          <w:rFonts w:ascii="Times New Roman" w:hAnsi="Times New Roman"/>
          <w:sz w:val="28"/>
          <w:szCs w:val="28"/>
        </w:rPr>
        <w:t xml:space="preserve">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0" w:rsidRDefault="005A02B0" w:rsidP="004A1E78">
      <w:pPr>
        <w:spacing w:after="0" w:line="240" w:lineRule="auto"/>
      </w:pPr>
      <w:r>
        <w:separator/>
      </w:r>
    </w:p>
  </w:endnote>
  <w:endnote w:type="continuationSeparator" w:id="0">
    <w:p w:rsidR="005A02B0" w:rsidRDefault="005A02B0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Default="00A723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0" w:rsidRDefault="005A02B0" w:rsidP="004A1E78">
      <w:pPr>
        <w:spacing w:after="0" w:line="240" w:lineRule="auto"/>
      </w:pPr>
      <w:r>
        <w:separator/>
      </w:r>
    </w:p>
  </w:footnote>
  <w:footnote w:type="continuationSeparator" w:id="0">
    <w:p w:rsidR="005A02B0" w:rsidRDefault="005A02B0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216C70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FF7EEB">
          <w:rPr>
            <w:rFonts w:ascii="Times New Roman" w:hAnsi="Times New Roman"/>
            <w:noProof/>
            <w:sz w:val="28"/>
            <w:szCs w:val="28"/>
          </w:rPr>
          <w:t>6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723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Pr="00950B27" w:rsidRDefault="00A72357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A72357" w:rsidRDefault="00A72357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A72357" w:rsidRPr="00C56C70" w:rsidRDefault="00A7235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F7EEB" w:rsidRPr="00FF7EEB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A72357" w:rsidRPr="00C56C70" w:rsidRDefault="00A7235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FF7EEB" w:rsidRPr="00FF7EEB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Pr="002F5800" w:rsidRDefault="00A72357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A72357" w:rsidRDefault="00A7235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A72357" w:rsidRPr="005D0D20" w:rsidRDefault="00A723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418FF" w:rsidRPr="005418F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32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A72357" w:rsidRPr="005D0D20" w:rsidRDefault="00A723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5418FF" w:rsidRPr="005418FF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32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0761FE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5418FF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72357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2F5800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5418FF">
          <w:rPr>
            <w:rFonts w:ascii="Times New Roman" w:hAnsi="Times New Roman"/>
            <w:noProof/>
            <w:sz w:val="28"/>
            <w:szCs w:val="28"/>
          </w:rPr>
          <w:t>44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72357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A72357" w:rsidRPr="00F91CF6" w:rsidRDefault="00A72357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A72357" w:rsidRPr="00F91CF6" w:rsidRDefault="00A72357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3D3C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1FD9"/>
    <w:rsid w:val="001522ED"/>
    <w:rsid w:val="00152486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468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489"/>
    <w:rsid w:val="00284F1C"/>
    <w:rsid w:val="00296A2B"/>
    <w:rsid w:val="002A5C56"/>
    <w:rsid w:val="002B6100"/>
    <w:rsid w:val="002B6984"/>
    <w:rsid w:val="002B7294"/>
    <w:rsid w:val="002C43F3"/>
    <w:rsid w:val="002C5C39"/>
    <w:rsid w:val="002D1FDB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2546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403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5F4F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18FF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02B0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0D7F"/>
    <w:rsid w:val="00731B53"/>
    <w:rsid w:val="00731CA9"/>
    <w:rsid w:val="00732C7C"/>
    <w:rsid w:val="007376A2"/>
    <w:rsid w:val="007428D8"/>
    <w:rsid w:val="0074523E"/>
    <w:rsid w:val="007600AF"/>
    <w:rsid w:val="0076083D"/>
    <w:rsid w:val="007646D9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14D0"/>
    <w:rsid w:val="008C40FC"/>
    <w:rsid w:val="008C4903"/>
    <w:rsid w:val="008C5BE2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2357"/>
    <w:rsid w:val="00A73303"/>
    <w:rsid w:val="00A747AA"/>
    <w:rsid w:val="00A86157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AF4E46"/>
    <w:rsid w:val="00AF6F96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3940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6E0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7FF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23F5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74D8A"/>
    <w:rsid w:val="00F808DC"/>
    <w:rsid w:val="00F83C3A"/>
    <w:rsid w:val="00F86201"/>
    <w:rsid w:val="00F90606"/>
    <w:rsid w:val="00F91CF6"/>
    <w:rsid w:val="00F93187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86BCE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  <w:style w:type="numbering" w:customStyle="1" w:styleId="250">
    <w:name w:val="Нет списка25"/>
    <w:next w:val="a2"/>
    <w:uiPriority w:val="99"/>
    <w:semiHidden/>
    <w:unhideWhenUsed/>
    <w:rsid w:val="00151FD9"/>
  </w:style>
  <w:style w:type="table" w:customStyle="1" w:styleId="28">
    <w:name w:val="Сетка таблицы28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51FD9"/>
  </w:style>
  <w:style w:type="table" w:customStyle="1" w:styleId="29">
    <w:name w:val="Сетка таблицы29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1FD9"/>
  </w:style>
  <w:style w:type="table" w:customStyle="1" w:styleId="32">
    <w:name w:val="Сетка таблицы32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51FD9"/>
  </w:style>
  <w:style w:type="table" w:customStyle="1" w:styleId="2120">
    <w:name w:val="Сетка таблицы212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151FD9"/>
  </w:style>
  <w:style w:type="numbering" w:customStyle="1" w:styleId="1114">
    <w:name w:val="Нет списка1114"/>
    <w:next w:val="a2"/>
    <w:uiPriority w:val="99"/>
    <w:semiHidden/>
    <w:unhideWhenUsed/>
    <w:rsid w:val="00151FD9"/>
  </w:style>
  <w:style w:type="numbering" w:customStyle="1" w:styleId="124">
    <w:name w:val="Нет списка124"/>
    <w:next w:val="a2"/>
    <w:uiPriority w:val="99"/>
    <w:semiHidden/>
    <w:unhideWhenUsed/>
    <w:rsid w:val="00151FD9"/>
  </w:style>
  <w:style w:type="numbering" w:customStyle="1" w:styleId="270">
    <w:name w:val="Нет списка27"/>
    <w:next w:val="a2"/>
    <w:uiPriority w:val="99"/>
    <w:semiHidden/>
    <w:unhideWhenUsed/>
    <w:rsid w:val="00D73940"/>
  </w:style>
  <w:style w:type="table" w:customStyle="1" w:styleId="300">
    <w:name w:val="Сетка таблицы30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D73940"/>
  </w:style>
  <w:style w:type="table" w:customStyle="1" w:styleId="2100">
    <w:name w:val="Сетка таблицы210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D73940"/>
  </w:style>
  <w:style w:type="table" w:customStyle="1" w:styleId="33">
    <w:name w:val="Сетка таблицы33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0">
    <w:name w:val="Сетка таблицы116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D73940"/>
  </w:style>
  <w:style w:type="table" w:customStyle="1" w:styleId="2130">
    <w:name w:val="Сетка таблицы213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D73940"/>
  </w:style>
  <w:style w:type="numbering" w:customStyle="1" w:styleId="1115">
    <w:name w:val="Нет списка1115"/>
    <w:next w:val="a2"/>
    <w:uiPriority w:val="99"/>
    <w:semiHidden/>
    <w:unhideWhenUsed/>
    <w:rsid w:val="00D73940"/>
  </w:style>
  <w:style w:type="numbering" w:customStyle="1" w:styleId="125">
    <w:name w:val="Нет списка125"/>
    <w:next w:val="a2"/>
    <w:uiPriority w:val="99"/>
    <w:semiHidden/>
    <w:unhideWhenUsed/>
    <w:rsid w:val="00D73940"/>
  </w:style>
  <w:style w:type="numbering" w:customStyle="1" w:styleId="290">
    <w:name w:val="Нет списка29"/>
    <w:next w:val="a2"/>
    <w:uiPriority w:val="99"/>
    <w:semiHidden/>
    <w:unhideWhenUsed/>
    <w:rsid w:val="00A86157"/>
  </w:style>
  <w:style w:type="table" w:customStyle="1" w:styleId="34">
    <w:name w:val="Сетка таблицы34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0">
    <w:name w:val="Сетка таблицы117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A86157"/>
  </w:style>
  <w:style w:type="table" w:customStyle="1" w:styleId="2140">
    <w:name w:val="Сетка таблицы214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A86157"/>
  </w:style>
  <w:style w:type="table" w:customStyle="1" w:styleId="35">
    <w:name w:val="Сетка таблицы35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0">
    <w:name w:val="Сетка таблицы118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A86157"/>
  </w:style>
  <w:style w:type="table" w:customStyle="1" w:styleId="2150">
    <w:name w:val="Сетка таблицы215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A86157"/>
  </w:style>
  <w:style w:type="numbering" w:customStyle="1" w:styleId="1116">
    <w:name w:val="Нет списка1116"/>
    <w:next w:val="a2"/>
    <w:uiPriority w:val="99"/>
    <w:semiHidden/>
    <w:unhideWhenUsed/>
    <w:rsid w:val="00A86157"/>
  </w:style>
  <w:style w:type="numbering" w:customStyle="1" w:styleId="126">
    <w:name w:val="Нет списка126"/>
    <w:next w:val="a2"/>
    <w:uiPriority w:val="99"/>
    <w:semiHidden/>
    <w:unhideWhenUsed/>
    <w:rsid w:val="00A8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0349-1853-48CB-8D0F-B437044F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44</Pages>
  <Words>13061</Words>
  <Characters>74449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39</cp:revision>
  <cp:lastPrinted>2015-10-30T05:57:00Z</cp:lastPrinted>
  <dcterms:created xsi:type="dcterms:W3CDTF">2020-11-26T11:32:00Z</dcterms:created>
  <dcterms:modified xsi:type="dcterms:W3CDTF">2021-09-08T08:00:00Z</dcterms:modified>
</cp:coreProperties>
</file>