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F" w:rsidRPr="00AF092F" w:rsidRDefault="00AF092F" w:rsidP="00AF092F">
      <w:pPr>
        <w:tabs>
          <w:tab w:val="left" w:pos="2502"/>
        </w:tabs>
        <w:jc w:val="both"/>
        <w:rPr>
          <w:szCs w:val="28"/>
        </w:rPr>
      </w:pPr>
      <w:r w:rsidRPr="00AF092F">
        <w:rPr>
          <w:szCs w:val="28"/>
        </w:rPr>
        <w:tab/>
        <w:t xml:space="preserve">О заключении коллективных договоров.            </w:t>
      </w:r>
    </w:p>
    <w:p w:rsidR="00AF092F" w:rsidRPr="00AF092F" w:rsidRDefault="00AF092F" w:rsidP="00680EAE">
      <w:pPr>
        <w:jc w:val="both"/>
        <w:rPr>
          <w:szCs w:val="28"/>
        </w:rPr>
      </w:pPr>
    </w:p>
    <w:p w:rsidR="00680EAE" w:rsidRPr="00AF092F" w:rsidRDefault="00160ED2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По</w:t>
      </w:r>
      <w:r w:rsidR="00680EAE" w:rsidRPr="00AF092F">
        <w:rPr>
          <w:szCs w:val="28"/>
        </w:rPr>
        <w:t xml:space="preserve"> состоянию на 01 января 2016 года заключили коллективные договоры и провели их уведомительную регистрацию в отделе трудовых отношений, охраны труда и взаимоде</w:t>
      </w:r>
      <w:r w:rsidR="008C42D9" w:rsidRPr="00AF092F">
        <w:rPr>
          <w:szCs w:val="28"/>
        </w:rPr>
        <w:t xml:space="preserve">йствия с работодателями ГКУ КК ЦЗН </w:t>
      </w:r>
      <w:r w:rsidR="00680EAE" w:rsidRPr="00AF092F">
        <w:rPr>
          <w:szCs w:val="28"/>
        </w:rPr>
        <w:t>Темрюкского р</w:t>
      </w:r>
      <w:r w:rsidR="008C42D9" w:rsidRPr="00AF092F">
        <w:rPr>
          <w:szCs w:val="28"/>
        </w:rPr>
        <w:t xml:space="preserve">айона </w:t>
      </w:r>
      <w:r w:rsidR="00680EAE" w:rsidRPr="00AF092F">
        <w:rPr>
          <w:szCs w:val="28"/>
        </w:rPr>
        <w:t xml:space="preserve">399 организаций района, из них в 2015 году – 144. Численность работников охваченных коллективно-договорными отношениями составляет 22050 человек. </w:t>
      </w:r>
    </w:p>
    <w:p w:rsidR="00680EAE" w:rsidRPr="00AF092F" w:rsidRDefault="00680EAE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В связи с ликвидацией и приостановлением хозяйственной деятельности не заключили новые коллективные договоры либо не продлили прежние 17 работодателей. </w:t>
      </w:r>
    </w:p>
    <w:p w:rsidR="00680EAE" w:rsidRPr="00AF092F" w:rsidRDefault="008C42D9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 xml:space="preserve"> После проведенной ГКУ КК ЦЗН Темрюкского района </w:t>
      </w:r>
      <w:r w:rsidR="00680EAE" w:rsidRPr="00AF092F">
        <w:rPr>
          <w:szCs w:val="28"/>
        </w:rPr>
        <w:t>работы в 2015 году впервые заключены коллективные договоры 20 работодателями района, в том числе: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 xml:space="preserve">- ИП </w:t>
      </w:r>
      <w:proofErr w:type="spellStart"/>
      <w:r w:rsidRPr="00AF092F">
        <w:rPr>
          <w:szCs w:val="28"/>
        </w:rPr>
        <w:t>Баер</w:t>
      </w:r>
      <w:proofErr w:type="spellEnd"/>
      <w:r w:rsidRPr="00AF092F">
        <w:rPr>
          <w:szCs w:val="28"/>
        </w:rPr>
        <w:t xml:space="preserve"> А.В. (22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- Филиал ООО «</w:t>
      </w:r>
      <w:proofErr w:type="spellStart"/>
      <w:r w:rsidRPr="00AF092F">
        <w:rPr>
          <w:szCs w:val="28"/>
        </w:rPr>
        <w:t>Аншип</w:t>
      </w:r>
      <w:proofErr w:type="spellEnd"/>
      <w:r w:rsidRPr="00AF092F">
        <w:rPr>
          <w:szCs w:val="28"/>
        </w:rPr>
        <w:t>» (322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- ООО «</w:t>
      </w:r>
      <w:proofErr w:type="spellStart"/>
      <w:r w:rsidRPr="00AF092F">
        <w:rPr>
          <w:szCs w:val="28"/>
        </w:rPr>
        <w:t>Югнефтепром</w:t>
      </w:r>
      <w:proofErr w:type="spellEnd"/>
      <w:r w:rsidRPr="00AF092F">
        <w:rPr>
          <w:szCs w:val="28"/>
        </w:rPr>
        <w:t>» (71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 xml:space="preserve">- ИП </w:t>
      </w:r>
      <w:proofErr w:type="spellStart"/>
      <w:r w:rsidRPr="00AF092F">
        <w:rPr>
          <w:szCs w:val="28"/>
        </w:rPr>
        <w:t>Назаренко</w:t>
      </w:r>
      <w:proofErr w:type="spellEnd"/>
      <w:r w:rsidRPr="00AF092F">
        <w:rPr>
          <w:szCs w:val="28"/>
        </w:rPr>
        <w:t xml:space="preserve"> Н.П. (27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- ООО «</w:t>
      </w:r>
      <w:proofErr w:type="spellStart"/>
      <w:r w:rsidRPr="00AF092F">
        <w:rPr>
          <w:szCs w:val="28"/>
        </w:rPr>
        <w:t>ТемрюкСтройМаркет</w:t>
      </w:r>
      <w:proofErr w:type="spellEnd"/>
      <w:r w:rsidRPr="00AF092F">
        <w:rPr>
          <w:szCs w:val="28"/>
        </w:rPr>
        <w:t>» (9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- МБ ДО ОЦРР Д/С №18 (42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- ООО «Морской терминал Тамань» (268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- ООО «Добрый пекарь» (30 чел.);</w:t>
      </w:r>
    </w:p>
    <w:p w:rsidR="00680EAE" w:rsidRPr="00AF092F" w:rsidRDefault="00680EAE" w:rsidP="00680EAE">
      <w:pPr>
        <w:ind w:firstLine="741"/>
        <w:jc w:val="both"/>
        <w:rPr>
          <w:szCs w:val="28"/>
        </w:rPr>
      </w:pPr>
      <w:r w:rsidRPr="00AF092F">
        <w:rPr>
          <w:szCs w:val="28"/>
        </w:rPr>
        <w:t>и др.</w:t>
      </w:r>
    </w:p>
    <w:p w:rsidR="00680EAE" w:rsidRPr="00AF092F" w:rsidRDefault="00680EAE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  В течение 2015 года в отдел трудовых отношений, охраны труда и взаимоде</w:t>
      </w:r>
      <w:r w:rsidR="008C42D9" w:rsidRPr="00AF092F">
        <w:rPr>
          <w:szCs w:val="28"/>
        </w:rPr>
        <w:t xml:space="preserve">йствия с работодателями ГКУ КК ЦЗН Темрюкского района </w:t>
      </w:r>
      <w:r w:rsidRPr="00AF092F">
        <w:rPr>
          <w:szCs w:val="28"/>
        </w:rPr>
        <w:t xml:space="preserve">обратились за консультациями 138 работников организаций о нарушении работодателями их трудовых прав. </w:t>
      </w:r>
    </w:p>
    <w:p w:rsidR="00680EAE" w:rsidRPr="00AF092F" w:rsidRDefault="00680EAE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 Практика показывает, что чаще нарушаются трудовые права работников у работодателей, не имеющих коллективного договора. В основном это организации малого бизнеса и предприниматели, осуществляющие наем работников. </w:t>
      </w:r>
    </w:p>
    <w:p w:rsidR="00680EAE" w:rsidRPr="00AF092F" w:rsidRDefault="00680EAE" w:rsidP="00680EAE">
      <w:pPr>
        <w:ind w:firstLine="540"/>
        <w:jc w:val="both"/>
        <w:rPr>
          <w:szCs w:val="28"/>
        </w:rPr>
      </w:pPr>
      <w:r w:rsidRPr="00AF092F">
        <w:rPr>
          <w:szCs w:val="28"/>
        </w:rPr>
        <w:t xml:space="preserve">  Между тем коллективный договор – это локальный акт, который наиболее широко охватывает все аспекты трудовых отношений между работодателем и работниками, позволяет обеспечить работникам предприятия благоприятные условия труда и обезопасить самого работодателя от возможных проблем в области нормативного регулирования трудовых отношений со своими работниками. </w:t>
      </w:r>
    </w:p>
    <w:p w:rsidR="00680EAE" w:rsidRPr="00AF092F" w:rsidRDefault="00680EAE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 Как правило, наличие коллективного договора является признаком стабильности организации, уважения интересов работников, заботы о будущем организации.</w:t>
      </w:r>
    </w:p>
    <w:p w:rsidR="00680EAE" w:rsidRPr="00AF092F" w:rsidRDefault="00680EAE" w:rsidP="00680EAE">
      <w:pPr>
        <w:tabs>
          <w:tab w:val="left" w:pos="-180"/>
        </w:tabs>
        <w:jc w:val="both"/>
        <w:rPr>
          <w:szCs w:val="28"/>
        </w:rPr>
      </w:pPr>
      <w:r w:rsidRPr="00AF092F">
        <w:rPr>
          <w:szCs w:val="28"/>
        </w:rPr>
        <w:t xml:space="preserve">            Пункт 6.1.8. районного трехстороннего соглашения между администрацией муниципального образования Темрюкский район, координационным Советом профсоюзов района и Темрюкским районным объединением работодателей на 2015-2018 годы, к которому присоединились </w:t>
      </w:r>
      <w:r w:rsidRPr="00AF092F">
        <w:rPr>
          <w:szCs w:val="28"/>
        </w:rPr>
        <w:lastRenderedPageBreak/>
        <w:t>все работодатели Темрюкского района, обязывает обеспечить полный охват организаций района коллективными договорами.</w:t>
      </w:r>
    </w:p>
    <w:p w:rsidR="00680EAE" w:rsidRPr="00AF092F" w:rsidRDefault="00680EAE" w:rsidP="00680EAE">
      <w:pPr>
        <w:tabs>
          <w:tab w:val="left" w:pos="-180"/>
        </w:tabs>
        <w:jc w:val="both"/>
        <w:rPr>
          <w:szCs w:val="28"/>
        </w:rPr>
      </w:pPr>
      <w:r w:rsidRPr="00AF092F">
        <w:rPr>
          <w:szCs w:val="28"/>
        </w:rPr>
        <w:t xml:space="preserve">            С руководителями ряда организаций крупного и малого бизнеса и работодателями – физическими лицами, использующими труд наемных работников, специалистами ГКУ КК ЦЗН Темрюкского района неоднократно проводилась разъяснительная работа по заключению коллективного договора, предлагалась консультационная и методическая помощь по составлению данного локального акта.</w:t>
      </w:r>
    </w:p>
    <w:p w:rsidR="00680EAE" w:rsidRPr="00AF092F" w:rsidRDefault="00680EAE" w:rsidP="00680EAE">
      <w:pPr>
        <w:tabs>
          <w:tab w:val="left" w:pos="-180"/>
        </w:tabs>
        <w:jc w:val="both"/>
        <w:rPr>
          <w:szCs w:val="28"/>
        </w:rPr>
      </w:pPr>
      <w:r w:rsidRPr="00AF092F">
        <w:rPr>
          <w:szCs w:val="28"/>
        </w:rPr>
        <w:t xml:space="preserve">            Однако до настоящего времени коллективный договор под различными предлогами  не заключили ряд работодателей района:</w:t>
      </w:r>
    </w:p>
    <w:p w:rsidR="00680EAE" w:rsidRPr="00AF092F" w:rsidRDefault="00680EAE" w:rsidP="00680EAE">
      <w:pPr>
        <w:jc w:val="both"/>
        <w:rPr>
          <w:rFonts w:ascii="Arial" w:hAnsi="Arial" w:cs="Arial"/>
          <w:color w:val="000000"/>
          <w:szCs w:val="28"/>
        </w:rPr>
      </w:pPr>
      <w:r w:rsidRPr="00AF092F">
        <w:rPr>
          <w:szCs w:val="28"/>
        </w:rPr>
        <w:t xml:space="preserve">ООО «Порт </w:t>
      </w:r>
      <w:proofErr w:type="spellStart"/>
      <w:r w:rsidRPr="00AF092F">
        <w:rPr>
          <w:szCs w:val="28"/>
        </w:rPr>
        <w:t>Мечел-Темрюк</w:t>
      </w:r>
      <w:proofErr w:type="spellEnd"/>
      <w:r w:rsidRPr="00AF092F">
        <w:rPr>
          <w:szCs w:val="28"/>
        </w:rPr>
        <w:t>» (Короткий В.Н.), ООО «Зея» (Павловский А.С.), ООО «Лиман» (Щербаков А.Н.), ЗАО «Лада-Геленджик-Транс» (Богданович В.А.), ООО «КГС-Порт» (Захаров С.А.), ПСК «</w:t>
      </w:r>
      <w:proofErr w:type="spellStart"/>
      <w:r w:rsidRPr="00AF092F">
        <w:rPr>
          <w:szCs w:val="28"/>
        </w:rPr>
        <w:t>Курчанский</w:t>
      </w:r>
      <w:proofErr w:type="spellEnd"/>
      <w:r w:rsidRPr="00AF092F">
        <w:rPr>
          <w:szCs w:val="28"/>
        </w:rPr>
        <w:t>» (</w:t>
      </w:r>
      <w:proofErr w:type="spellStart"/>
      <w:r w:rsidRPr="00AF092F">
        <w:rPr>
          <w:szCs w:val="28"/>
        </w:rPr>
        <w:t>Каратеев</w:t>
      </w:r>
      <w:proofErr w:type="spellEnd"/>
      <w:r w:rsidRPr="00AF092F">
        <w:rPr>
          <w:szCs w:val="28"/>
        </w:rPr>
        <w:t xml:space="preserve"> С.Б.), ООО "ОТЭКО-ЦАСФ" (</w:t>
      </w:r>
      <w:proofErr w:type="spellStart"/>
      <w:r w:rsidRPr="00AF092F">
        <w:rPr>
          <w:szCs w:val="28"/>
        </w:rPr>
        <w:t>Долженко</w:t>
      </w:r>
      <w:proofErr w:type="spellEnd"/>
      <w:r w:rsidRPr="00AF092F">
        <w:rPr>
          <w:szCs w:val="28"/>
        </w:rPr>
        <w:t xml:space="preserve"> В.Е.), ООО "ОТЭКО - Терминал" </w:t>
      </w:r>
      <w:r w:rsidRPr="00AF092F">
        <w:rPr>
          <w:color w:val="000000"/>
          <w:szCs w:val="28"/>
        </w:rPr>
        <w:t>(Пестряков В.М.);</w:t>
      </w:r>
      <w:r w:rsidRPr="00AF092F">
        <w:rPr>
          <w:rFonts w:ascii="Arial" w:hAnsi="Arial" w:cs="Arial"/>
          <w:color w:val="000000"/>
          <w:szCs w:val="28"/>
        </w:rPr>
        <w:t xml:space="preserve"> </w:t>
      </w:r>
      <w:proofErr w:type="gramStart"/>
      <w:r w:rsidRPr="00AF092F">
        <w:rPr>
          <w:color w:val="000000"/>
          <w:szCs w:val="28"/>
        </w:rPr>
        <w:t>ООО "ОТЭКО - ПОРТСЕРВИС" (</w:t>
      </w:r>
      <w:proofErr w:type="spellStart"/>
      <w:r w:rsidRPr="00AF092F">
        <w:rPr>
          <w:color w:val="000000"/>
          <w:szCs w:val="28"/>
        </w:rPr>
        <w:t>Губинец</w:t>
      </w:r>
      <w:proofErr w:type="spellEnd"/>
      <w:r w:rsidRPr="00AF092F">
        <w:rPr>
          <w:color w:val="000000"/>
          <w:szCs w:val="28"/>
        </w:rPr>
        <w:t xml:space="preserve"> С.М.), </w:t>
      </w:r>
      <w:r w:rsidRPr="00AF092F">
        <w:rPr>
          <w:szCs w:val="28"/>
        </w:rPr>
        <w:t xml:space="preserve">ООО "СВЛ Марин Транзит </w:t>
      </w:r>
      <w:proofErr w:type="spellStart"/>
      <w:r w:rsidRPr="00AF092F">
        <w:rPr>
          <w:szCs w:val="28"/>
        </w:rPr>
        <w:t>Сервисиз</w:t>
      </w:r>
      <w:proofErr w:type="spellEnd"/>
      <w:r w:rsidRPr="00AF092F">
        <w:rPr>
          <w:szCs w:val="28"/>
        </w:rPr>
        <w:t>" (Светцов С.А.), ООО "ОМЕГА" (</w:t>
      </w:r>
      <w:proofErr w:type="spellStart"/>
      <w:r w:rsidRPr="00AF092F">
        <w:rPr>
          <w:szCs w:val="28"/>
        </w:rPr>
        <w:t>Сытарь</w:t>
      </w:r>
      <w:proofErr w:type="spellEnd"/>
      <w:r w:rsidRPr="00AF092F">
        <w:rPr>
          <w:szCs w:val="28"/>
        </w:rPr>
        <w:t xml:space="preserve"> И.А.), </w:t>
      </w:r>
      <w:r w:rsidRPr="00AF092F">
        <w:rPr>
          <w:color w:val="000000"/>
          <w:szCs w:val="28"/>
        </w:rPr>
        <w:t>ООО «</w:t>
      </w:r>
      <w:proofErr w:type="spellStart"/>
      <w:r w:rsidRPr="00AF092F">
        <w:rPr>
          <w:color w:val="000000"/>
          <w:szCs w:val="28"/>
        </w:rPr>
        <w:t>ЮгБункерСервис-Кавказ</w:t>
      </w:r>
      <w:proofErr w:type="spellEnd"/>
      <w:r w:rsidRPr="00AF092F">
        <w:rPr>
          <w:color w:val="000000"/>
          <w:szCs w:val="28"/>
        </w:rPr>
        <w:t>» (</w:t>
      </w:r>
      <w:proofErr w:type="spellStart"/>
      <w:r w:rsidRPr="00AF092F">
        <w:rPr>
          <w:color w:val="000000"/>
          <w:szCs w:val="28"/>
        </w:rPr>
        <w:t>Чистофат</w:t>
      </w:r>
      <w:proofErr w:type="spellEnd"/>
      <w:r w:rsidRPr="00AF092F">
        <w:rPr>
          <w:color w:val="000000"/>
          <w:szCs w:val="28"/>
        </w:rPr>
        <w:t xml:space="preserve"> А.Е.), </w:t>
      </w:r>
      <w:r w:rsidRPr="00AF092F">
        <w:rPr>
          <w:szCs w:val="28"/>
        </w:rPr>
        <w:t>ООО «Зерновой терминальный комплекс Тамань» (</w:t>
      </w:r>
      <w:proofErr w:type="spellStart"/>
      <w:r w:rsidRPr="00AF092F">
        <w:rPr>
          <w:szCs w:val="28"/>
        </w:rPr>
        <w:t>Гнатко</w:t>
      </w:r>
      <w:proofErr w:type="spellEnd"/>
      <w:r w:rsidRPr="00AF092F">
        <w:rPr>
          <w:szCs w:val="28"/>
        </w:rPr>
        <w:t xml:space="preserve"> С.А.), </w:t>
      </w:r>
      <w:r w:rsidRPr="00AF092F">
        <w:rPr>
          <w:color w:val="000000"/>
          <w:szCs w:val="28"/>
        </w:rPr>
        <w:t xml:space="preserve">ООО «Волна Тамани» (Малина М.А.), </w:t>
      </w:r>
      <w:r w:rsidRPr="00AF092F">
        <w:rPr>
          <w:szCs w:val="28"/>
        </w:rPr>
        <w:t>ООО «ООО «КГС-МОЛ» (Панов А.И.), ООО «</w:t>
      </w:r>
      <w:proofErr w:type="spellStart"/>
      <w:r w:rsidRPr="00AF092F">
        <w:rPr>
          <w:szCs w:val="28"/>
        </w:rPr>
        <w:t>ТВК-Кубань</w:t>
      </w:r>
      <w:proofErr w:type="spellEnd"/>
      <w:r w:rsidRPr="00AF092F">
        <w:rPr>
          <w:szCs w:val="28"/>
        </w:rPr>
        <w:t>» (Гончар Ю.И.), ООО «</w:t>
      </w:r>
      <w:proofErr w:type="spellStart"/>
      <w:r w:rsidRPr="00AF092F">
        <w:rPr>
          <w:szCs w:val="28"/>
        </w:rPr>
        <w:t>РосХимТрейд</w:t>
      </w:r>
      <w:proofErr w:type="spellEnd"/>
      <w:r w:rsidRPr="00AF092F">
        <w:rPr>
          <w:szCs w:val="28"/>
        </w:rPr>
        <w:t>» (Говорков С.В.), ООО «Меридиан» (</w:t>
      </w:r>
      <w:proofErr w:type="spellStart"/>
      <w:r w:rsidRPr="00AF092F">
        <w:rPr>
          <w:szCs w:val="28"/>
        </w:rPr>
        <w:t>Кумунджиев</w:t>
      </w:r>
      <w:proofErr w:type="spellEnd"/>
      <w:r w:rsidRPr="00AF092F">
        <w:rPr>
          <w:szCs w:val="28"/>
        </w:rPr>
        <w:t xml:space="preserve"> А.Г.), ООО</w:t>
      </w:r>
      <w:proofErr w:type="gramEnd"/>
      <w:r w:rsidRPr="00AF092F">
        <w:rPr>
          <w:szCs w:val="28"/>
        </w:rPr>
        <w:t xml:space="preserve"> "</w:t>
      </w:r>
      <w:proofErr w:type="gramStart"/>
      <w:r w:rsidRPr="00AF092F">
        <w:rPr>
          <w:szCs w:val="28"/>
        </w:rPr>
        <w:t xml:space="preserve">Подвод-Сервис" </w:t>
      </w:r>
      <w:r w:rsidRPr="00AF092F">
        <w:rPr>
          <w:color w:val="000000"/>
          <w:szCs w:val="28"/>
        </w:rPr>
        <w:t>(директор Александров Д.Д.),</w:t>
      </w:r>
      <w:r w:rsidRPr="00AF092F">
        <w:rPr>
          <w:szCs w:val="28"/>
        </w:rPr>
        <w:t xml:space="preserve"> ООО «</w:t>
      </w:r>
      <w:proofErr w:type="spellStart"/>
      <w:r w:rsidRPr="00AF092F">
        <w:rPr>
          <w:szCs w:val="28"/>
        </w:rPr>
        <w:t>КавказМорСервис</w:t>
      </w:r>
      <w:proofErr w:type="spellEnd"/>
      <w:r w:rsidRPr="00AF092F">
        <w:rPr>
          <w:szCs w:val="28"/>
        </w:rPr>
        <w:t>» (Сливин Е.Б.), ООО ЧОП «Зевс» (Нагорный А.В.), ООО «Ирида» (</w:t>
      </w:r>
      <w:proofErr w:type="spellStart"/>
      <w:r w:rsidRPr="00AF092F">
        <w:rPr>
          <w:szCs w:val="28"/>
        </w:rPr>
        <w:t>Бадиковский</w:t>
      </w:r>
      <w:proofErr w:type="spellEnd"/>
      <w:r w:rsidRPr="00AF092F">
        <w:rPr>
          <w:szCs w:val="28"/>
        </w:rPr>
        <w:t xml:space="preserve"> С.П.), ЧОО ТАМАНЬ (Юровских В.В.), ООО «</w:t>
      </w:r>
      <w:proofErr w:type="spellStart"/>
      <w:r w:rsidRPr="00AF092F">
        <w:rPr>
          <w:szCs w:val="28"/>
        </w:rPr>
        <w:t>Фанагория</w:t>
      </w:r>
      <w:proofErr w:type="spellEnd"/>
      <w:r w:rsidRPr="00AF092F">
        <w:rPr>
          <w:szCs w:val="28"/>
        </w:rPr>
        <w:t xml:space="preserve"> – РС» (Белоусов В.В.), ООО «Производство железобетонных изделий» (Проценко Н.А.), ИП Петренко Н.В. (фирма «</w:t>
      </w:r>
      <w:proofErr w:type="spellStart"/>
      <w:r w:rsidRPr="00AF092F">
        <w:rPr>
          <w:szCs w:val="28"/>
        </w:rPr>
        <w:t>Таманец</w:t>
      </w:r>
      <w:proofErr w:type="spellEnd"/>
      <w:r w:rsidRPr="00AF092F">
        <w:rPr>
          <w:szCs w:val="28"/>
        </w:rPr>
        <w:t xml:space="preserve">»), ИП </w:t>
      </w:r>
      <w:proofErr w:type="spellStart"/>
      <w:r w:rsidRPr="00AF092F">
        <w:rPr>
          <w:szCs w:val="28"/>
        </w:rPr>
        <w:t>Яковенко</w:t>
      </w:r>
      <w:proofErr w:type="spellEnd"/>
      <w:r w:rsidRPr="00AF092F">
        <w:rPr>
          <w:szCs w:val="28"/>
        </w:rPr>
        <w:t xml:space="preserve"> Е.А. (кафе «Александрия»), ИП </w:t>
      </w:r>
      <w:proofErr w:type="spellStart"/>
      <w:r w:rsidRPr="00AF092F">
        <w:rPr>
          <w:szCs w:val="28"/>
        </w:rPr>
        <w:t>Кочура</w:t>
      </w:r>
      <w:proofErr w:type="spellEnd"/>
      <w:r w:rsidRPr="00AF092F">
        <w:rPr>
          <w:szCs w:val="28"/>
        </w:rPr>
        <w:t xml:space="preserve"> С.М. (магазин «Новосел»), ИП </w:t>
      </w:r>
      <w:proofErr w:type="spellStart"/>
      <w:r w:rsidRPr="00AF092F">
        <w:rPr>
          <w:szCs w:val="28"/>
        </w:rPr>
        <w:t>Подлеснов</w:t>
      </w:r>
      <w:proofErr w:type="spellEnd"/>
      <w:r w:rsidRPr="00AF092F">
        <w:rPr>
          <w:szCs w:val="28"/>
        </w:rPr>
        <w:t xml:space="preserve"> А.</w:t>
      </w:r>
      <w:proofErr w:type="gramEnd"/>
      <w:r w:rsidRPr="00AF092F">
        <w:rPr>
          <w:szCs w:val="28"/>
        </w:rPr>
        <w:t xml:space="preserve">А. (сеть магазинов «Олимп»), ИП Продан В.В. (сеть магазинов «Пульсар»), КФК </w:t>
      </w:r>
      <w:proofErr w:type="spellStart"/>
      <w:r w:rsidRPr="00AF092F">
        <w:rPr>
          <w:szCs w:val="28"/>
        </w:rPr>
        <w:t>Хадыкин</w:t>
      </w:r>
      <w:proofErr w:type="spellEnd"/>
      <w:r w:rsidRPr="00AF092F">
        <w:rPr>
          <w:szCs w:val="28"/>
        </w:rPr>
        <w:t xml:space="preserve"> А.В. и др.            </w:t>
      </w:r>
    </w:p>
    <w:p w:rsidR="00680EAE" w:rsidRPr="00AF092F" w:rsidRDefault="00680EAE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Во исполнение Плана мероприятий по реализации Закона Краснодарского края от 07.08.2000г. № 310-КЗ «О социальном партнерстве в Краснодарском крае», утвержденного Законодательным собранием Краснодарского края 20.05.2015 года, руководствуясь районным трехсторонним соглашением на 2015-2018 годы с целью дальнейшего развития социального партнерства и </w:t>
      </w:r>
      <w:r w:rsidRPr="00AF092F">
        <w:rPr>
          <w:color w:val="000000"/>
          <w:szCs w:val="28"/>
          <w:shd w:val="clear" w:color="auto" w:fill="FFFFFF"/>
        </w:rPr>
        <w:t>усиления трудовых прав работников района</w:t>
      </w:r>
      <w:r w:rsidRPr="00AF092F">
        <w:rPr>
          <w:szCs w:val="28"/>
        </w:rPr>
        <w:t xml:space="preserve">, </w:t>
      </w:r>
      <w:r w:rsidR="00160ED2" w:rsidRPr="00AF092F">
        <w:rPr>
          <w:szCs w:val="28"/>
        </w:rPr>
        <w:t>рекомендуем работодателям</w:t>
      </w:r>
      <w:r w:rsidRPr="00AF092F">
        <w:rPr>
          <w:szCs w:val="28"/>
        </w:rPr>
        <w:t xml:space="preserve"> Темрюкского района</w:t>
      </w:r>
      <w:r w:rsidR="00160ED2" w:rsidRPr="00AF092F">
        <w:rPr>
          <w:szCs w:val="28"/>
        </w:rPr>
        <w:t xml:space="preserve"> принять активное участие в</w:t>
      </w:r>
      <w:r w:rsidRPr="00AF092F">
        <w:rPr>
          <w:szCs w:val="28"/>
        </w:rPr>
        <w:t xml:space="preserve"> заключени</w:t>
      </w:r>
      <w:proofErr w:type="gramStart"/>
      <w:r w:rsidR="00160ED2" w:rsidRPr="00AF092F">
        <w:rPr>
          <w:szCs w:val="28"/>
        </w:rPr>
        <w:t>и</w:t>
      </w:r>
      <w:proofErr w:type="gramEnd"/>
      <w:r w:rsidR="00160ED2" w:rsidRPr="00AF092F">
        <w:rPr>
          <w:szCs w:val="28"/>
        </w:rPr>
        <w:t xml:space="preserve"> </w:t>
      </w:r>
      <w:r w:rsidRPr="00AF092F">
        <w:rPr>
          <w:szCs w:val="28"/>
        </w:rPr>
        <w:t xml:space="preserve">коллективных договоров и их уведомительной регистрации в </w:t>
      </w:r>
      <w:r w:rsidR="008C42D9" w:rsidRPr="00AF092F">
        <w:rPr>
          <w:szCs w:val="28"/>
        </w:rPr>
        <w:t>ГКУ КК ЦЗН Темрюкского района</w:t>
      </w:r>
      <w:r w:rsidRPr="00AF092F">
        <w:rPr>
          <w:szCs w:val="28"/>
        </w:rPr>
        <w:t>.</w:t>
      </w:r>
    </w:p>
    <w:p w:rsidR="00680EAE" w:rsidRPr="00AF092F" w:rsidRDefault="00680EAE" w:rsidP="00680EAE">
      <w:pPr>
        <w:jc w:val="both"/>
        <w:rPr>
          <w:szCs w:val="28"/>
        </w:rPr>
      </w:pPr>
      <w:r w:rsidRPr="00AF092F">
        <w:rPr>
          <w:szCs w:val="28"/>
        </w:rPr>
        <w:t xml:space="preserve">            </w:t>
      </w:r>
    </w:p>
    <w:sectPr w:rsidR="00680EAE" w:rsidRPr="00AF092F" w:rsidSect="0007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E4" w:rsidRDefault="00A256E4" w:rsidP="00160ED2">
      <w:r>
        <w:separator/>
      </w:r>
    </w:p>
  </w:endnote>
  <w:endnote w:type="continuationSeparator" w:id="0">
    <w:p w:rsidR="00A256E4" w:rsidRDefault="00A256E4" w:rsidP="0016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E4" w:rsidRDefault="00A256E4" w:rsidP="00160ED2">
      <w:r>
        <w:separator/>
      </w:r>
    </w:p>
  </w:footnote>
  <w:footnote w:type="continuationSeparator" w:id="0">
    <w:p w:rsidR="00A256E4" w:rsidRDefault="00A256E4" w:rsidP="00160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042"/>
    <w:rsid w:val="00060EDA"/>
    <w:rsid w:val="00073A76"/>
    <w:rsid w:val="00084F94"/>
    <w:rsid w:val="000A3DCA"/>
    <w:rsid w:val="000A452B"/>
    <w:rsid w:val="000C491E"/>
    <w:rsid w:val="001400E7"/>
    <w:rsid w:val="00160ED2"/>
    <w:rsid w:val="00200879"/>
    <w:rsid w:val="002801E2"/>
    <w:rsid w:val="002B6D3E"/>
    <w:rsid w:val="002E2DAC"/>
    <w:rsid w:val="002F41D1"/>
    <w:rsid w:val="003B18E2"/>
    <w:rsid w:val="003D20FA"/>
    <w:rsid w:val="004138CF"/>
    <w:rsid w:val="00454166"/>
    <w:rsid w:val="00460B38"/>
    <w:rsid w:val="004878DC"/>
    <w:rsid w:val="004C693E"/>
    <w:rsid w:val="00520740"/>
    <w:rsid w:val="00527BAB"/>
    <w:rsid w:val="005F4441"/>
    <w:rsid w:val="00680EAE"/>
    <w:rsid w:val="00777306"/>
    <w:rsid w:val="00795797"/>
    <w:rsid w:val="00865601"/>
    <w:rsid w:val="008A7042"/>
    <w:rsid w:val="008C42D9"/>
    <w:rsid w:val="0094352B"/>
    <w:rsid w:val="009965FD"/>
    <w:rsid w:val="00A256E4"/>
    <w:rsid w:val="00AB1F1A"/>
    <w:rsid w:val="00AF05A6"/>
    <w:rsid w:val="00AF092F"/>
    <w:rsid w:val="00B20CC2"/>
    <w:rsid w:val="00B33B1E"/>
    <w:rsid w:val="00B8543D"/>
    <w:rsid w:val="00C1163B"/>
    <w:rsid w:val="00C62E6E"/>
    <w:rsid w:val="00D14501"/>
    <w:rsid w:val="00D168A0"/>
    <w:rsid w:val="00D62A1A"/>
    <w:rsid w:val="00D77EFC"/>
    <w:rsid w:val="00E052A5"/>
    <w:rsid w:val="00E220FF"/>
    <w:rsid w:val="00E26CCE"/>
    <w:rsid w:val="00EF376D"/>
    <w:rsid w:val="00F212F7"/>
    <w:rsid w:val="00F47347"/>
    <w:rsid w:val="00F51F6C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60E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60E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E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EAA0-EAD8-4AC6-A21F-03F5A64B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ЦЗН</cp:lastModifiedBy>
  <cp:revision>2</cp:revision>
  <cp:lastPrinted>2016-02-11T06:28:00Z</cp:lastPrinted>
  <dcterms:created xsi:type="dcterms:W3CDTF">2016-03-09T13:23:00Z</dcterms:created>
  <dcterms:modified xsi:type="dcterms:W3CDTF">2016-03-09T13:23:00Z</dcterms:modified>
</cp:coreProperties>
</file>