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Pr="006A24EA" w:rsidRDefault="00EC735B" w:rsidP="00EC735B">
      <w:pPr>
        <w:jc w:val="center"/>
        <w:rPr>
          <w:b/>
          <w:sz w:val="28"/>
          <w:szCs w:val="28"/>
        </w:rPr>
      </w:pPr>
      <w:r>
        <w:rPr>
          <w:b/>
          <w:sz w:val="28"/>
          <w:szCs w:val="28"/>
        </w:rPr>
        <w:t xml:space="preserve">Р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FD3387" w:rsidP="00EC735B">
      <w:pPr>
        <w:rPr>
          <w:sz w:val="28"/>
          <w:szCs w:val="28"/>
        </w:rPr>
      </w:pPr>
      <w:r>
        <w:rPr>
          <w:sz w:val="28"/>
          <w:szCs w:val="28"/>
        </w:rPr>
        <w:t>26 марта 2024</w:t>
      </w:r>
      <w:r w:rsidR="00EC735B">
        <w:rPr>
          <w:sz w:val="28"/>
          <w:szCs w:val="28"/>
        </w:rPr>
        <w:t xml:space="preserve"> года                                              </w:t>
      </w:r>
      <w:r w:rsidR="00BD58E2">
        <w:rPr>
          <w:sz w:val="28"/>
          <w:szCs w:val="28"/>
        </w:rPr>
        <w:t xml:space="preserve">                           </w:t>
      </w:r>
      <w:r w:rsidR="00EC735B">
        <w:rPr>
          <w:sz w:val="28"/>
          <w:szCs w:val="28"/>
        </w:rPr>
        <w:t xml:space="preserve">    </w:t>
      </w:r>
      <w:r w:rsidR="004727EC">
        <w:rPr>
          <w:sz w:val="28"/>
          <w:szCs w:val="28"/>
        </w:rPr>
        <w:t xml:space="preserve">       </w:t>
      </w:r>
      <w:r w:rsidR="00EC735B">
        <w:rPr>
          <w:sz w:val="28"/>
          <w:szCs w:val="28"/>
        </w:rPr>
        <w:t xml:space="preserve">     № </w:t>
      </w:r>
      <w:r>
        <w:rPr>
          <w:sz w:val="28"/>
          <w:szCs w:val="28"/>
        </w:rPr>
        <w:t>2</w:t>
      </w:r>
      <w:r w:rsidR="00760C75">
        <w:rPr>
          <w:sz w:val="28"/>
          <w:szCs w:val="28"/>
        </w:rPr>
        <w:t>-1</w:t>
      </w:r>
    </w:p>
    <w:p w:rsidR="00F3468E" w:rsidRDefault="00F3468E" w:rsidP="00F3468E">
      <w:pPr>
        <w:overflowPunct w:val="0"/>
        <w:autoSpaceDE w:val="0"/>
        <w:autoSpaceDN w:val="0"/>
        <w:adjustRightInd w:val="0"/>
        <w:jc w:val="both"/>
        <w:textAlignment w:val="baseline"/>
        <w:rPr>
          <w:spacing w:val="9"/>
          <w:sz w:val="28"/>
          <w:szCs w:val="28"/>
        </w:rPr>
      </w:pPr>
    </w:p>
    <w:p w:rsidR="00BA3801" w:rsidRDefault="00BA3801" w:rsidP="00F3468E">
      <w:pPr>
        <w:overflowPunct w:val="0"/>
        <w:autoSpaceDE w:val="0"/>
        <w:autoSpaceDN w:val="0"/>
        <w:adjustRightInd w:val="0"/>
        <w:jc w:val="both"/>
        <w:textAlignment w:val="baseline"/>
        <w:rPr>
          <w:spacing w:val="9"/>
          <w:sz w:val="28"/>
          <w:szCs w:val="28"/>
        </w:rPr>
      </w:pPr>
      <w:r w:rsidRPr="00BA3801">
        <w:rPr>
          <w:spacing w:val="9"/>
          <w:sz w:val="28"/>
          <w:szCs w:val="28"/>
        </w:rPr>
        <w:t xml:space="preserve">О выполнении районного </w:t>
      </w:r>
    </w:p>
    <w:p w:rsidR="00BA3801" w:rsidRDefault="00BA3801" w:rsidP="00F3468E">
      <w:pPr>
        <w:overflowPunct w:val="0"/>
        <w:autoSpaceDE w:val="0"/>
        <w:autoSpaceDN w:val="0"/>
        <w:adjustRightInd w:val="0"/>
        <w:jc w:val="both"/>
        <w:textAlignment w:val="baseline"/>
        <w:rPr>
          <w:spacing w:val="9"/>
          <w:sz w:val="28"/>
          <w:szCs w:val="28"/>
        </w:rPr>
      </w:pPr>
      <w:r w:rsidRPr="00BA3801">
        <w:rPr>
          <w:spacing w:val="9"/>
          <w:sz w:val="28"/>
          <w:szCs w:val="28"/>
        </w:rPr>
        <w:t xml:space="preserve">трехстороннего Соглашения </w:t>
      </w:r>
    </w:p>
    <w:p w:rsidR="00F3468E" w:rsidRDefault="00BA3801" w:rsidP="00F3468E">
      <w:pPr>
        <w:overflowPunct w:val="0"/>
        <w:autoSpaceDE w:val="0"/>
        <w:autoSpaceDN w:val="0"/>
        <w:adjustRightInd w:val="0"/>
        <w:jc w:val="both"/>
        <w:textAlignment w:val="baseline"/>
        <w:rPr>
          <w:spacing w:val="9"/>
          <w:sz w:val="28"/>
          <w:szCs w:val="28"/>
        </w:rPr>
      </w:pPr>
      <w:r w:rsidRPr="00BA3801">
        <w:rPr>
          <w:spacing w:val="9"/>
          <w:sz w:val="28"/>
          <w:szCs w:val="28"/>
        </w:rPr>
        <w:t>на 2021-2024 годы за 2023 год</w:t>
      </w:r>
    </w:p>
    <w:p w:rsidR="00BA3801" w:rsidRDefault="00BA3801" w:rsidP="00F3468E">
      <w:pPr>
        <w:overflowPunct w:val="0"/>
        <w:autoSpaceDE w:val="0"/>
        <w:autoSpaceDN w:val="0"/>
        <w:adjustRightInd w:val="0"/>
        <w:jc w:val="both"/>
        <w:textAlignment w:val="baseline"/>
        <w:rPr>
          <w:spacing w:val="9"/>
          <w:sz w:val="28"/>
          <w:szCs w:val="28"/>
        </w:rPr>
      </w:pPr>
    </w:p>
    <w:p w:rsidR="007D25D5" w:rsidRPr="007D25D5" w:rsidRDefault="007D25D5" w:rsidP="007D25D5">
      <w:pPr>
        <w:overflowPunct w:val="0"/>
        <w:autoSpaceDE w:val="0"/>
        <w:autoSpaceDN w:val="0"/>
        <w:adjustRightInd w:val="0"/>
        <w:ind w:firstLine="708"/>
        <w:jc w:val="both"/>
        <w:textAlignment w:val="baseline"/>
        <w:rPr>
          <w:spacing w:val="9"/>
          <w:sz w:val="28"/>
          <w:szCs w:val="28"/>
        </w:rPr>
      </w:pPr>
      <w:r>
        <w:rPr>
          <w:spacing w:val="9"/>
          <w:sz w:val="28"/>
          <w:szCs w:val="28"/>
        </w:rPr>
        <w:t>Н</w:t>
      </w:r>
      <w:r w:rsidRPr="007D25D5">
        <w:rPr>
          <w:spacing w:val="9"/>
          <w:sz w:val="28"/>
          <w:szCs w:val="28"/>
        </w:rPr>
        <w:t xml:space="preserve">есмотря на все сложности, связанные с ранее введенными финансово-экономическими санкциями международного уровня, на протяжении 2023 г. сохранена различная динамика в развитии экономики Темрюкского района. Драйверами роста экономики выступили: </w:t>
      </w:r>
    </w:p>
    <w:p w:rsidR="007D25D5" w:rsidRPr="007D25D5" w:rsidRDefault="007D25D5" w:rsidP="007D25D5">
      <w:pPr>
        <w:overflowPunct w:val="0"/>
        <w:autoSpaceDE w:val="0"/>
        <w:autoSpaceDN w:val="0"/>
        <w:adjustRightInd w:val="0"/>
        <w:jc w:val="both"/>
        <w:textAlignment w:val="baseline"/>
        <w:rPr>
          <w:spacing w:val="9"/>
          <w:sz w:val="28"/>
          <w:szCs w:val="28"/>
        </w:rPr>
      </w:pPr>
      <w:r w:rsidRPr="007D25D5">
        <w:rPr>
          <w:spacing w:val="9"/>
          <w:sz w:val="28"/>
          <w:szCs w:val="28"/>
        </w:rPr>
        <w:t xml:space="preserve">сектор потребительского рынка: прирост по обороту розничных продаж к 2022 г. составил 5,7%, общественного питания в 2,6 раза; транспортный комплекс: рост перевезенных (отправленных) грузов компаниями всех видов деятельности составил 110%, в том числе в морских портах Тамани 109,8%; увеличены показатели пассажирских перевозок, пассажирооборота автомобильного транспорта на 10,3 и 5,3%% соответственно. Общий объем выполненных работ и услуг организациями данного комплекса составил 147198,0 млн. руб. сельскохозяйственная отрасль. Объем отгруженной продукции увеличился в 2,2 раза (по итогам 2022 г. – темп роста составлял 81,6%), составив 9470,0 млн. руб. в действующих ценах. Весь объем продукции приходится на отрасль «растениеводство». санаторно-курортный и туристский комплекс. В 2023 г. Темрюкский район посетили 1734,1 тыс. туристов (с учетом однодневных посетителей и экскурсантов), что на 5,1% больше, чем в 2022 г. Предоставлено услуг курортно-туристского комплекса в 2023 г. на сумму 167,9 млн. руб., это 106,7% по отношению к объему услуг 2022 г.  </w:t>
      </w:r>
    </w:p>
    <w:p w:rsidR="007D25D5" w:rsidRPr="007D25D5" w:rsidRDefault="007D25D5" w:rsidP="007D25D5">
      <w:pPr>
        <w:overflowPunct w:val="0"/>
        <w:autoSpaceDE w:val="0"/>
        <w:autoSpaceDN w:val="0"/>
        <w:adjustRightInd w:val="0"/>
        <w:jc w:val="both"/>
        <w:textAlignment w:val="baseline"/>
        <w:rPr>
          <w:spacing w:val="9"/>
          <w:sz w:val="28"/>
          <w:szCs w:val="28"/>
        </w:rPr>
      </w:pPr>
      <w:r w:rsidRPr="007D25D5">
        <w:rPr>
          <w:spacing w:val="9"/>
          <w:sz w:val="28"/>
          <w:szCs w:val="28"/>
        </w:rPr>
        <w:t xml:space="preserve">за 2023 г. введено в действие жилых домов 193,4 тыс. кв. м., что больше 2022 г. на 23,4%. Из общего объема 82% приходится на индивидуальных застройщиков. объем инвестиций крупных и средних предприятий муниципального образования Темрюкский район составил 54091,6 млн. руб., темп роста 181,5% (в сопоставимых ценах). По состоянию на 1 января 2024 г. на территории муниципального образования Темрюкский район реализуются следующие крупные инвестиционные проекты: расширение терминального комплекса в порту Тамань; строительство санаторно-оздоровительного комплекса «Дельфин» в пос. Веселовка; спортивный комплекс в пос. Веселовка; строительство комплекса отелей в пос. Веселовка; строительство гостиничного комплекса в пос. Пересыпь; строительство морского терминала по перегрузке нефтепродуктов в морском порту Темрюк; строительство жилого комплекса по адресу: г. Темрюк, ул. Дальняя, д. 30; строительство гостевого комплекса по ул. </w:t>
      </w:r>
      <w:r w:rsidRPr="007D25D5">
        <w:rPr>
          <w:spacing w:val="9"/>
          <w:sz w:val="28"/>
          <w:szCs w:val="28"/>
        </w:rPr>
        <w:lastRenderedPageBreak/>
        <w:t>Курортная в ст. Голубицкая; строительство многофункциональной зоны дорожного сервиса в ст. Тамань; строительство детского лагеря на 300 детей в пос. Волна, ул. Таманская 12 б. Инвестиционные проекты, реализованные в 2023 году: строительство курортно-рекреационного комплекса «Вилла Романов» в ст. Голубицкая; строительство жилого комплекса «Морской». Администрация муниципального образования Темрюкский район намерена продолжать курс по повышению инвестиционной привлекательности района. Замедлены темпы роста: в промышленном производстве. За 2023 г. индекс производства в целом по данному сектору составил 87,4% по отношению к 2022 г. или 86804,8 млн. руб., главным образом за счет снижения выпуска пищевых продуктов (масложировой отрасли), темп роста их объемов производства отмечен на уровне 80%. в «строительной» отрасли, объем работ, выполненных собственными силами, составил 12871,2 млн. руб., темп роста по отношению к 2022 г. (в сопоставимых ценах) – 88,3%, за счет уменьшения объемов СМР в подрядных организациях: ОП ООО «Промкапстрой-Темрюк» ПКС, Филиал № 13 АО «Газпром Газораспределение Краснодар». Достигнутые показатели в экономике повлияли на доходную часть консолидированного бюджета. Основные сектора экономики, которые внесли наибольший вклад в экономику муниципального образования стали комплексы: транспортный, агропромышленный, санаторно-курортный, потребительский рынок, малое и среднее предпринимательство. Объем доходной части консолидированного бюджета муниципального образования Темрюкский район, который включает в себя районный бюджет и 12 бюджетов поселений за 2023 г. составил 4119,4 млн. руб., темп роста к 2022 г. – 129,4%. Выполнение годового плана отмечено на уровне 112,8%. Исполнение плана по налоговым и неналоговым доходам по районному бюджету за 2023 г. составило 2638,6 млн. руб., темп роста к 2022 г. – 132,4% (2638,6 млн. руб., в том числе по налоговым доходам – 2412,9 млн. руб., по неналоговым – 225,7 млн. руб.). Исполнение плана на 2023 г. – 111,8%.</w:t>
      </w:r>
    </w:p>
    <w:p w:rsidR="007D25D5" w:rsidRPr="007D25D5" w:rsidRDefault="007D25D5" w:rsidP="007D25D5">
      <w:pPr>
        <w:overflowPunct w:val="0"/>
        <w:autoSpaceDE w:val="0"/>
        <w:autoSpaceDN w:val="0"/>
        <w:adjustRightInd w:val="0"/>
        <w:jc w:val="both"/>
        <w:textAlignment w:val="baseline"/>
        <w:rPr>
          <w:spacing w:val="9"/>
          <w:sz w:val="28"/>
          <w:szCs w:val="28"/>
        </w:rPr>
      </w:pPr>
      <w:r w:rsidRPr="007D25D5">
        <w:rPr>
          <w:spacing w:val="9"/>
          <w:sz w:val="28"/>
          <w:szCs w:val="28"/>
        </w:rPr>
        <w:t xml:space="preserve">Сводный годовой бюджет поселений Темрюкского района по налоговым и неналоговым доходам за 2023 г. достиг 1480,8 млн. руб., темп роста к 2022 г. – 124,2%. Исполнение годового плана составляет 114,5%. Основной источник дохода трудоспособного населения - заработная плата. На 1 декабря 2023 г. среднемесячная начисленная заработная плата работников крупных и средних предприятий* увеличена на 16%, составив 66669 руб.  Наибольший уровень заработной платы отмечен в отраслях: «строительство» - 102535 руб., темп роста по отношению к аналогичному периоду 2022 г. – 126%; «транспорт» - 78433 руб. или 112% к 11 месяцам 2022 г.; «обрабатывающие производства» - 70875 руб. темп роста 121,8%; «сельское хозяйство» - 56805 руб., темп роста 109,7%. В органах службы занятости населения по Темрюкскому району по состоянию на 1 января 2024 г. зарегистрировано 134 безработных гражданина, что в 1,7 раза </w:t>
      </w:r>
      <w:r w:rsidRPr="007D25D5">
        <w:rPr>
          <w:spacing w:val="9"/>
          <w:sz w:val="28"/>
          <w:szCs w:val="28"/>
        </w:rPr>
        <w:lastRenderedPageBreak/>
        <w:t xml:space="preserve">меньше, чем в 2022 г. Уровень регистрируемой безработицы (отношение численности зарегистрированных безработных граждан к численности экономически активного населения) – 0,2%. В области содействия занятости населения и кадрового обеспечения организаций,  администрацией МОТР проводится работа по направлениям определенным трехсторонним соглашением, а именно: в целях дальнейшего обеспечения организаций в Темрюкском районе профессиональными рабочими кадрами, планирования профессиональной подготовки кадров в соответствии с потребностями рынка труда администрация МО ТР принимает активное участие в мониторинге потребности организаций Краснодарского края в квалифицированных кадрах, участвуя в проведении опроса руководителей и представителей кадровых служб предприятий, организаций и учреждений, расположенных на территории района. Проводит информационную и разъяснительную работу. В образовательных учреждениях района проводится профориентационная работа с учащимися выпускных классов. В 2023 году администрация МО Темрюкский район приняла активное участие в проведении Ярмарки вакансий. Работа России, Время возможностей. Проводит работу по ликвидации неформальной занятости и легализации трудовых отношений. По итогам 2023 года контрольный показатель выполнен на 102,3%. С 377 гражданами были заключены трудовые договоры в добровольном порядке. Зарегистрировали индивидуальное предпринимательство 883 человека. Реализуются мероприятия по временному трудоустройству несовершеннолетних в свободное от учёбы время. В вопросе трудоустройства несовершеннолетних приоритеты отдаются подросткам из неблагополучных, социально незащищённых малообеспеченных семей. Содействует расширению возможностей трудоустройства инвалидов. Администрацией муниципального образования Темрюкский район ежегодно утверждается постановление  «Об утверждении перечня организаций, которым вводятся квотируемые рабочие места для трудоустройства инвалидов, молодежи и иных граждан, испытывающих трудности в поиске работы, на предприятиях, в организациях и учреждениях Темрюкского района». Разрабатывается, утверждается и реализуется план мероприятий («дорожная карта») повышения уровня показателей работающих инвалидов в муниципальном образовании Темрюкский район. Отчет о выполнении «дорожной карты» ежеквартально направляется в министерство труда и социального развития Краснодарского края. Совместно с ГКУ «ЦЗН Темрюкского района» систематически проводится мониторинг и анализ состояния условий охраны труда в районе, причин производственного травматизма и профессиональной заболеваемости, разрабатываются меры по их снижению. На заседаниях межведомственной комиссии администрации муниципального образования Темрюкский район проводится информирование сторон социального партнерства о состоянии условий и </w:t>
      </w:r>
      <w:r w:rsidRPr="007D25D5">
        <w:rPr>
          <w:spacing w:val="9"/>
          <w:sz w:val="28"/>
          <w:szCs w:val="28"/>
        </w:rPr>
        <w:lastRenderedPageBreak/>
        <w:t>охраны труда. В администрации разработана и утверждена муниципальная программа «Улучшение условий охраны труда в Темрюкском районе». Проводится ведомственных контроль подведомственных администрации муниципального образования Темрюкский район учреждений в части соблюдения трудового законодательства и иных нормативных правовых актов, содержащих нормы трудового права. В 2023 проведен ведомственный контроль в 27 учреждениях. В части социальной политики администрация муниципального образования Темрюкский район обеспечивает реализацию на территории Темрюкского района муниципальной программы в части организации отдыха и оздоровления детей, предоставление детям путевок для лечения в санаториях, санаторных оздоровительных лагерях круглосуточного действия, в том числе дневного пребывания, предоставление социальной выплаты в целях частичной компенсации родителям стоимости приобретенных путевок для детей, организацию отдыха детей в каникулярное время в лагерях дневного пребывания на базе муниципальных образовательных учреждений. В течение всего летнего периода рабочими группами межведомственной комиссией проводились мониторинги качества оказания услуг оздоровительных организаций.</w:t>
      </w:r>
    </w:p>
    <w:p w:rsidR="007D25D5" w:rsidRPr="007D25D5" w:rsidRDefault="007D25D5" w:rsidP="007D25D5">
      <w:pPr>
        <w:overflowPunct w:val="0"/>
        <w:autoSpaceDE w:val="0"/>
        <w:autoSpaceDN w:val="0"/>
        <w:adjustRightInd w:val="0"/>
        <w:ind w:firstLine="708"/>
        <w:jc w:val="both"/>
        <w:textAlignment w:val="baseline"/>
        <w:rPr>
          <w:spacing w:val="9"/>
          <w:sz w:val="28"/>
          <w:szCs w:val="28"/>
        </w:rPr>
      </w:pPr>
      <w:r>
        <w:rPr>
          <w:spacing w:val="9"/>
          <w:sz w:val="28"/>
          <w:szCs w:val="28"/>
        </w:rPr>
        <w:t>Профсоюзы. К</w:t>
      </w:r>
      <w:r w:rsidRPr="007D25D5">
        <w:rPr>
          <w:spacing w:val="9"/>
          <w:sz w:val="28"/>
          <w:szCs w:val="28"/>
        </w:rPr>
        <w:t xml:space="preserve">оординационный Совет Профсоюзов  Темрюкского района включает в себя: Темрюкскую районную территориальную организацию Профсоюза  культуры; первичную организацию здравоохранения «Темрюкская центральная районная больница» МЗ КК; Темрюкская районная профсоюзная организация работников  образования и науки РФ; Темрюкская районная территориальная организация работников торговли, общепита, потребкооперации  и предпринимательства «Торговое единство»; Темрюкская районная организация Профсоюза работников АПК; Темрюкская районная организация Общероссийского Профсоюза работников государственных учреждений и общественного обслуживания Российской Федерации. Профсоюзами района активно проводилась работа по реализации положений, закрепленных трехсторонним Соглашением, направленных на обеспечение социально-трудовых интересов и прав граждан, повышению благосостояния населения. Проводилась работа по согласованию нормативных актов, касающихся вопросов оплаты труда и охраны труда. Оказывали содействие в росте профессионализма, организации трудового соперничества путем проведения различных творческих, профессиональных конкурсов, предусматривая поощрения за участие и почетные места. Принимали участие в пропаганде и популяризации здорового образа жизни, как среди членов профсоюза, так и среди членов трудовых коллективов, не являющимися членами профсоюзной организации. Оказывали консультативную правовую помощь в вопросах охраны труда и оплаты труда. Обеспечивали контроль за выполнением коллективных договоров в части предоставления работникам социальных </w:t>
      </w:r>
      <w:r w:rsidRPr="007D25D5">
        <w:rPr>
          <w:spacing w:val="9"/>
          <w:sz w:val="28"/>
          <w:szCs w:val="28"/>
        </w:rPr>
        <w:lastRenderedPageBreak/>
        <w:t>льгот и гарантий. Осуществляли контроль проведения работодателями специальной оценки условий труда на квотируемых местах и соблюдения условий труда по результатам проведенной специальной оценки. Обеспечивали общественный контроль за своевременной и в полном объеме выплатой заработной платы, а также перечислением страховых взносов в государственные внебюджетные фонды в организациях, имеющих профсоюзные организации.</w:t>
      </w:r>
    </w:p>
    <w:p w:rsidR="007D25D5" w:rsidRPr="007D25D5" w:rsidRDefault="007D25D5" w:rsidP="007D25D5">
      <w:pPr>
        <w:overflowPunct w:val="0"/>
        <w:autoSpaceDE w:val="0"/>
        <w:autoSpaceDN w:val="0"/>
        <w:adjustRightInd w:val="0"/>
        <w:ind w:firstLine="708"/>
        <w:jc w:val="both"/>
        <w:textAlignment w:val="baseline"/>
        <w:rPr>
          <w:spacing w:val="9"/>
          <w:sz w:val="28"/>
          <w:szCs w:val="28"/>
        </w:rPr>
      </w:pPr>
      <w:r>
        <w:rPr>
          <w:spacing w:val="9"/>
          <w:sz w:val="28"/>
          <w:szCs w:val="28"/>
        </w:rPr>
        <w:t>Работодатели. С</w:t>
      </w:r>
      <w:r w:rsidRPr="007D25D5">
        <w:rPr>
          <w:spacing w:val="9"/>
          <w:sz w:val="28"/>
          <w:szCs w:val="28"/>
        </w:rPr>
        <w:t xml:space="preserve">реди работодателей района проводилась работа по принятию необходимых мер по улучшению экономического и финансового положения предприятий, обеспечивающих их стабильную работу по увеличению объемов производства, выпуску конкурентоспособной продукции; по содействию в развитии трудового соперничества; сохранению существующих и созданию новых рабочих мест. Работодатели, которым установлены квоты для трудоустройства инвалидов, включают в коллективные договоры мероприятия по созданию (выделению)  квотируемых рабочих мест для трудоустройства инвалидов и проведению на этих рабочих местах специальной оценки условий труда, а также соблюдению условий труда инвалидов на квотируемых рабочих местах по результатам проведенной специальной оценки. Обеспечивают трудоустройство в счет установленной квоты граждан, испытывающих трудности в поиске работы, в том числе инвалидов (в соответствии с нормативной правовой базой). Обеспечивают своевременное предоставление информации в орган службы занятости населения о наличии вакантных рабочих мест в организациях, у индивидуальных предпринимателей и выполнении установленной квоты для трудоустройства граждан, испытывающих трудности в поиске работы, в том числе инвалидов. Участвуют ежегодно в мониторинге и прогнозировании потребности экономики района в квалифицированных кадрах на среднесрочный период. Обеспечивают организацию временных рабочих мест для несовершеннолетних в возрасте от 14 до 18 лет в свободное от учебы время, отдавая приоритет подросткам из социально незащищенных и малообеспеченных семей. Среди работодателей проводится постоянная работа о необходимости заключения и обеспечения выполнения </w:t>
      </w:r>
      <w:r w:rsidRPr="007D25D5">
        <w:rPr>
          <w:bCs/>
          <w:spacing w:val="9"/>
          <w:sz w:val="28"/>
          <w:szCs w:val="28"/>
        </w:rPr>
        <w:t xml:space="preserve">коллективных договоров. Обязательности </w:t>
      </w:r>
      <w:r w:rsidRPr="007D25D5">
        <w:rPr>
          <w:spacing w:val="9"/>
          <w:sz w:val="28"/>
          <w:szCs w:val="28"/>
        </w:rPr>
        <w:t xml:space="preserve">своевременной и в полном объёме выплаты заработной платы. Не допущение образования долгов по заработной плате и уплате страховых взносов. Обеспечение регистрации работников в органах Пенсионного Фонда РФ, учет начисления и перечисления страховых взносов, своевременное представление документов для ведения персонифицированного учета, назначения и выплаты пенсий в соответствии с действующим законодательством; предоставление достоверных сведений о страховом стаже, дающем застрахованным лицам право на досрочное назначение страховой пенсии по старости. В </w:t>
      </w:r>
      <w:r w:rsidRPr="007D25D5">
        <w:rPr>
          <w:spacing w:val="9"/>
          <w:sz w:val="28"/>
          <w:szCs w:val="28"/>
        </w:rPr>
        <w:lastRenderedPageBreak/>
        <w:t xml:space="preserve">обязательном порядке соблюдение норм трудового законодательства в области охраны труда. </w:t>
      </w:r>
    </w:p>
    <w:p w:rsidR="007D25D5" w:rsidRPr="007D25D5" w:rsidRDefault="007D25D5" w:rsidP="007D25D5">
      <w:pPr>
        <w:overflowPunct w:val="0"/>
        <w:autoSpaceDE w:val="0"/>
        <w:autoSpaceDN w:val="0"/>
        <w:adjustRightInd w:val="0"/>
        <w:ind w:firstLine="708"/>
        <w:jc w:val="both"/>
        <w:textAlignment w:val="baseline"/>
        <w:rPr>
          <w:spacing w:val="9"/>
          <w:sz w:val="28"/>
          <w:szCs w:val="28"/>
        </w:rPr>
      </w:pPr>
      <w:r w:rsidRPr="007D25D5">
        <w:rPr>
          <w:spacing w:val="9"/>
          <w:sz w:val="28"/>
          <w:szCs w:val="28"/>
        </w:rPr>
        <w:t xml:space="preserve">Заслушав информацию администрации муниципального образования Темрюкский район, координационного Совета профсоюзов, районного объединения работодателей </w:t>
      </w:r>
      <w:r>
        <w:rPr>
          <w:spacing w:val="9"/>
          <w:sz w:val="28"/>
          <w:szCs w:val="28"/>
        </w:rPr>
        <w:t xml:space="preserve">Темрюкская районная трёхсторонняя комиссия </w:t>
      </w:r>
    </w:p>
    <w:p w:rsidR="00356753" w:rsidRPr="004A5668" w:rsidRDefault="00356753" w:rsidP="00A10B92">
      <w:pPr>
        <w:jc w:val="both"/>
        <w:rPr>
          <w:sz w:val="28"/>
          <w:szCs w:val="28"/>
        </w:rPr>
      </w:pPr>
    </w:p>
    <w:p w:rsidR="008C0574" w:rsidRDefault="008C0574" w:rsidP="008C0574">
      <w:pPr>
        <w:jc w:val="both"/>
        <w:rPr>
          <w:sz w:val="28"/>
          <w:szCs w:val="28"/>
        </w:rPr>
      </w:pPr>
      <w:r w:rsidRPr="008C0574">
        <w:rPr>
          <w:b/>
          <w:sz w:val="28"/>
          <w:szCs w:val="28"/>
        </w:rPr>
        <w:t>РЕШИЛА</w:t>
      </w:r>
      <w:r>
        <w:rPr>
          <w:sz w:val="28"/>
          <w:szCs w:val="28"/>
        </w:rPr>
        <w:t>:</w:t>
      </w:r>
    </w:p>
    <w:p w:rsidR="00D74639" w:rsidRPr="00D74639" w:rsidRDefault="00D74639" w:rsidP="00D74639">
      <w:pPr>
        <w:ind w:firstLine="708"/>
        <w:jc w:val="both"/>
        <w:rPr>
          <w:sz w:val="28"/>
          <w:szCs w:val="28"/>
        </w:rPr>
      </w:pPr>
      <w:r w:rsidRPr="00D74639">
        <w:rPr>
          <w:sz w:val="28"/>
          <w:szCs w:val="28"/>
        </w:rPr>
        <w:t>1. Все пункты трёхстороннего Соглашения выполнены. Невыполненных пунктов нет.</w:t>
      </w:r>
    </w:p>
    <w:p w:rsidR="00D74639" w:rsidRPr="00D74639" w:rsidRDefault="00D74639" w:rsidP="00D74639">
      <w:pPr>
        <w:ind w:firstLine="708"/>
        <w:jc w:val="both"/>
        <w:rPr>
          <w:sz w:val="28"/>
          <w:szCs w:val="28"/>
        </w:rPr>
      </w:pPr>
      <w:r w:rsidRPr="00D74639">
        <w:rPr>
          <w:sz w:val="28"/>
          <w:szCs w:val="28"/>
        </w:rPr>
        <w:t>2. Информацию о выполнении трёхстороннего Соглашения между администрацией муниципального образования Темрюкский район, координационным Советом профсоюзов и работодателями района на годы 2021-2024 годы за 2023 год принять к сведению и признать работу сторон положительной.</w:t>
      </w:r>
    </w:p>
    <w:p w:rsidR="00D74639" w:rsidRPr="00D74639" w:rsidRDefault="00D74639" w:rsidP="00D74639">
      <w:pPr>
        <w:ind w:firstLine="708"/>
        <w:jc w:val="both"/>
        <w:rPr>
          <w:sz w:val="28"/>
          <w:szCs w:val="28"/>
        </w:rPr>
      </w:pPr>
      <w:r w:rsidRPr="00D74639">
        <w:rPr>
          <w:sz w:val="28"/>
          <w:szCs w:val="28"/>
        </w:rPr>
        <w:t>3.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w:t>
      </w:r>
    </w:p>
    <w:p w:rsidR="00356753" w:rsidRDefault="00356753" w:rsidP="00F3468E">
      <w:pPr>
        <w:ind w:firstLine="708"/>
        <w:jc w:val="both"/>
        <w:rPr>
          <w:sz w:val="28"/>
          <w:szCs w:val="28"/>
        </w:rPr>
      </w:pPr>
    </w:p>
    <w:p w:rsidR="00356753" w:rsidRPr="00F3468E" w:rsidRDefault="00356753" w:rsidP="00F3468E">
      <w:pPr>
        <w:ind w:firstLine="708"/>
        <w:jc w:val="both"/>
        <w:rPr>
          <w:sz w:val="28"/>
          <w:szCs w:val="28"/>
        </w:r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F97619">
        <w:trPr>
          <w:trHeight w:val="1971"/>
        </w:trPr>
        <w:tc>
          <w:tcPr>
            <w:tcW w:w="3828" w:type="dxa"/>
          </w:tcPr>
          <w:p w:rsidR="008C0574" w:rsidRPr="008C0574" w:rsidRDefault="008C0574" w:rsidP="008C0574">
            <w:pPr>
              <w:jc w:val="both"/>
              <w:rPr>
                <w:bCs/>
                <w:sz w:val="28"/>
                <w:szCs w:val="28"/>
              </w:rPr>
            </w:pPr>
            <w:r w:rsidRPr="008C0574">
              <w:rPr>
                <w:bCs/>
                <w:sz w:val="28"/>
                <w:szCs w:val="28"/>
              </w:rPr>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О.В. Дяденко</w:t>
            </w:r>
          </w:p>
        </w:tc>
        <w:tc>
          <w:tcPr>
            <w:tcW w:w="3402"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территориальных  организаций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______________________</w:t>
            </w:r>
          </w:p>
          <w:p w:rsidR="008C0574" w:rsidRPr="008C0574" w:rsidRDefault="005C2EEB" w:rsidP="008C0574">
            <w:pPr>
              <w:jc w:val="both"/>
              <w:rPr>
                <w:sz w:val="28"/>
                <w:szCs w:val="28"/>
              </w:rPr>
            </w:pPr>
            <w:r>
              <w:rPr>
                <w:sz w:val="28"/>
                <w:szCs w:val="28"/>
              </w:rPr>
              <w:t>Т.Н. Кокоха</w:t>
            </w:r>
          </w:p>
        </w:tc>
        <w:tc>
          <w:tcPr>
            <w:tcW w:w="3119"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директор МУП ТР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216AA3" w:rsidRDefault="00216AA3" w:rsidP="008C0574">
      <w:pPr>
        <w:jc w:val="center"/>
        <w:rPr>
          <w:b/>
          <w:sz w:val="28"/>
          <w:szCs w:val="28"/>
        </w:rPr>
      </w:pPr>
    </w:p>
    <w:p w:rsidR="0027016F" w:rsidRDefault="0027016F" w:rsidP="008C0574">
      <w:pPr>
        <w:jc w:val="center"/>
        <w:rPr>
          <w:b/>
          <w:sz w:val="28"/>
          <w:szCs w:val="28"/>
        </w:rPr>
      </w:pPr>
    </w:p>
    <w:p w:rsidR="0027016F" w:rsidRDefault="0027016F" w:rsidP="008C0574">
      <w:pPr>
        <w:jc w:val="center"/>
        <w:rPr>
          <w:b/>
          <w:sz w:val="28"/>
          <w:szCs w:val="28"/>
        </w:rPr>
      </w:pPr>
    </w:p>
    <w:p w:rsidR="004A5668" w:rsidRDefault="004A5668" w:rsidP="008C0574">
      <w:pPr>
        <w:jc w:val="center"/>
        <w:rPr>
          <w:b/>
          <w:sz w:val="28"/>
          <w:szCs w:val="28"/>
        </w:rPr>
      </w:pPr>
    </w:p>
    <w:p w:rsidR="004A5668" w:rsidRDefault="004A5668" w:rsidP="008C0574">
      <w:pPr>
        <w:jc w:val="center"/>
        <w:rPr>
          <w:b/>
          <w:sz w:val="28"/>
          <w:szCs w:val="28"/>
        </w:rPr>
      </w:pPr>
    </w:p>
    <w:p w:rsidR="004A5668" w:rsidRDefault="004A5668" w:rsidP="008C0574">
      <w:pPr>
        <w:jc w:val="center"/>
        <w:rPr>
          <w:b/>
          <w:sz w:val="28"/>
          <w:szCs w:val="28"/>
        </w:rPr>
      </w:pPr>
    </w:p>
    <w:p w:rsidR="004A5668" w:rsidRDefault="004A5668" w:rsidP="008C0574">
      <w:pPr>
        <w:jc w:val="center"/>
        <w:rPr>
          <w:b/>
          <w:sz w:val="28"/>
          <w:szCs w:val="28"/>
        </w:rPr>
      </w:pPr>
    </w:p>
    <w:p w:rsidR="00F3468E" w:rsidRDefault="00F3468E" w:rsidP="008C0574">
      <w:pPr>
        <w:jc w:val="center"/>
        <w:rPr>
          <w:b/>
          <w:sz w:val="28"/>
          <w:szCs w:val="28"/>
        </w:rPr>
      </w:pPr>
    </w:p>
    <w:p w:rsidR="00F3468E" w:rsidRDefault="00F3468E" w:rsidP="008C0574">
      <w:pPr>
        <w:jc w:val="center"/>
        <w:rPr>
          <w:b/>
          <w:sz w:val="28"/>
          <w:szCs w:val="28"/>
        </w:rPr>
      </w:pPr>
    </w:p>
    <w:p w:rsidR="00F3468E" w:rsidRDefault="00F3468E" w:rsidP="008C0574">
      <w:pPr>
        <w:jc w:val="center"/>
        <w:rPr>
          <w:b/>
          <w:sz w:val="28"/>
          <w:szCs w:val="28"/>
        </w:rPr>
      </w:pPr>
    </w:p>
    <w:p w:rsidR="00F3468E" w:rsidRDefault="00F3468E" w:rsidP="008C0574">
      <w:pPr>
        <w:jc w:val="center"/>
        <w:rPr>
          <w:b/>
          <w:sz w:val="28"/>
          <w:szCs w:val="28"/>
        </w:rPr>
      </w:pPr>
    </w:p>
    <w:p w:rsidR="00F3468E" w:rsidRDefault="00F3468E" w:rsidP="008C0574">
      <w:pPr>
        <w:jc w:val="center"/>
        <w:rPr>
          <w:b/>
          <w:sz w:val="28"/>
          <w:szCs w:val="28"/>
        </w:rPr>
      </w:pPr>
    </w:p>
    <w:p w:rsidR="008C0574" w:rsidRPr="008C0574" w:rsidRDefault="008C0574" w:rsidP="008C0574">
      <w:pPr>
        <w:jc w:val="center"/>
        <w:rPr>
          <w:b/>
          <w:sz w:val="28"/>
          <w:szCs w:val="28"/>
        </w:rPr>
      </w:pPr>
      <w:r w:rsidRPr="008C0574">
        <w:rPr>
          <w:b/>
          <w:sz w:val="28"/>
          <w:szCs w:val="28"/>
        </w:rPr>
        <w:lastRenderedPageBreak/>
        <w:t>СПИСОК РАССЫЛКИ</w:t>
      </w:r>
    </w:p>
    <w:p w:rsidR="008C0574" w:rsidRPr="008C0574" w:rsidRDefault="008C0574" w:rsidP="008C0574">
      <w:pPr>
        <w:jc w:val="both"/>
        <w:rPr>
          <w:b/>
          <w:sz w:val="28"/>
          <w:szCs w:val="28"/>
        </w:rPr>
      </w:pPr>
    </w:p>
    <w:p w:rsidR="008C0574" w:rsidRPr="008C0574" w:rsidRDefault="008C0574" w:rsidP="008C0574">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8C0574">
      <w:pPr>
        <w:jc w:val="both"/>
        <w:rPr>
          <w:sz w:val="28"/>
          <w:szCs w:val="28"/>
        </w:rPr>
      </w:pPr>
      <w:r w:rsidRPr="008C0574">
        <w:rPr>
          <w:sz w:val="28"/>
          <w:szCs w:val="28"/>
        </w:rPr>
        <w:t xml:space="preserve">социально-трудовых отношений от </w:t>
      </w:r>
      <w:r w:rsidR="00FD3387">
        <w:rPr>
          <w:sz w:val="28"/>
          <w:szCs w:val="28"/>
        </w:rPr>
        <w:t>26.03.2024</w:t>
      </w:r>
      <w:r w:rsidR="00C4125C">
        <w:rPr>
          <w:sz w:val="28"/>
          <w:szCs w:val="28"/>
        </w:rPr>
        <w:t xml:space="preserve"> года № </w:t>
      </w:r>
      <w:r w:rsidR="00FD3387">
        <w:rPr>
          <w:sz w:val="28"/>
          <w:szCs w:val="28"/>
        </w:rPr>
        <w:t>2</w:t>
      </w:r>
      <w:r w:rsidRPr="008C0574">
        <w:rPr>
          <w:sz w:val="28"/>
          <w:szCs w:val="28"/>
        </w:rPr>
        <w:t>-</w:t>
      </w:r>
      <w:r w:rsidR="005C2EEB">
        <w:rPr>
          <w:sz w:val="28"/>
          <w:szCs w:val="28"/>
        </w:rPr>
        <w:t>1</w:t>
      </w:r>
    </w:p>
    <w:p w:rsidR="00E9585D" w:rsidRPr="008C0574" w:rsidRDefault="008C0574" w:rsidP="0027016F">
      <w:pPr>
        <w:jc w:val="both"/>
        <w:rPr>
          <w:sz w:val="28"/>
          <w:szCs w:val="28"/>
        </w:rPr>
      </w:pPr>
      <w:r>
        <w:rPr>
          <w:sz w:val="28"/>
          <w:szCs w:val="28"/>
        </w:rPr>
        <w:t>«</w:t>
      </w:r>
      <w:r w:rsidR="00124A44" w:rsidRPr="00124A44">
        <w:rPr>
          <w:sz w:val="28"/>
          <w:szCs w:val="28"/>
        </w:rPr>
        <w:t>О выполнении районного трехстороннего Соглашения на 2021-2024 годы за 2023 год</w:t>
      </w:r>
      <w:bookmarkStart w:id="0" w:name="_GoBack"/>
      <w:bookmarkEnd w:id="0"/>
      <w:r w:rsidRPr="00F3468E">
        <w:rPr>
          <w:sz w:val="28"/>
          <w:szCs w:val="28"/>
        </w:rPr>
        <w:t>»</w:t>
      </w:r>
      <w:r w:rsidR="00AE47D2">
        <w:rPr>
          <w:sz w:val="28"/>
          <w:szCs w:val="28"/>
        </w:rPr>
        <w:t>.</w:t>
      </w: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О.В. Дяденко – 1 экз.</w:t>
      </w:r>
    </w:p>
    <w:p w:rsidR="008C0574" w:rsidRPr="008C0574" w:rsidRDefault="005C2EEB" w:rsidP="008C0574">
      <w:pPr>
        <w:numPr>
          <w:ilvl w:val="0"/>
          <w:numId w:val="1"/>
        </w:numPr>
        <w:jc w:val="both"/>
        <w:rPr>
          <w:sz w:val="28"/>
          <w:szCs w:val="28"/>
        </w:rPr>
      </w:pPr>
      <w:r>
        <w:rPr>
          <w:sz w:val="28"/>
          <w:szCs w:val="28"/>
        </w:rPr>
        <w:t>Т.Н. Кокоха</w:t>
      </w:r>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374B90" w:rsidRPr="008C0574" w:rsidRDefault="00374B90"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sectPr w:rsidR="00F83224" w:rsidSect="00216AA3">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22" w:rsidRDefault="003B7622" w:rsidP="001C7650">
      <w:r>
        <w:separator/>
      </w:r>
    </w:p>
  </w:endnote>
  <w:endnote w:type="continuationSeparator" w:id="0">
    <w:p w:rsidR="003B7622" w:rsidRDefault="003B7622"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22" w:rsidRDefault="003B7622" w:rsidP="001C7650">
      <w:r>
        <w:separator/>
      </w:r>
    </w:p>
  </w:footnote>
  <w:footnote w:type="continuationSeparator" w:id="0">
    <w:p w:rsidR="003B7622" w:rsidRDefault="003B7622" w:rsidP="001C7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0D" w:rsidRDefault="00BA4543" w:rsidP="009F0A0D">
    <w:pPr>
      <w:pStyle w:val="a5"/>
      <w:framePr w:wrap="around" w:vAnchor="text" w:hAnchor="margin" w:xAlign="center" w:y="1"/>
      <w:rPr>
        <w:rStyle w:val="a7"/>
      </w:rPr>
    </w:pPr>
    <w:r>
      <w:rPr>
        <w:rStyle w:val="a7"/>
      </w:rPr>
      <w:fldChar w:fldCharType="begin"/>
    </w:r>
    <w:r w:rsidR="00EC735B">
      <w:rPr>
        <w:rStyle w:val="a7"/>
      </w:rPr>
      <w:instrText xml:space="preserve">PAGE  </w:instrText>
    </w:r>
    <w:r>
      <w:rPr>
        <w:rStyle w:val="a7"/>
      </w:rPr>
      <w:fldChar w:fldCharType="end"/>
    </w:r>
  </w:p>
  <w:p w:rsidR="009F0A0D" w:rsidRDefault="009F0A0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283655"/>
      <w:docPartObj>
        <w:docPartGallery w:val="Page Numbers (Top of Page)"/>
        <w:docPartUnique/>
      </w:docPartObj>
    </w:sdtPr>
    <w:sdtEndPr/>
    <w:sdtContent>
      <w:p w:rsidR="007B3D0E" w:rsidRDefault="007B3D0E">
        <w:pPr>
          <w:pStyle w:val="a5"/>
          <w:jc w:val="center"/>
        </w:pPr>
        <w:r>
          <w:fldChar w:fldCharType="begin"/>
        </w:r>
        <w:r>
          <w:instrText>PAGE   \* MERGEFORMAT</w:instrText>
        </w:r>
        <w:r>
          <w:fldChar w:fldCharType="separate"/>
        </w:r>
        <w:r w:rsidR="00124A44">
          <w:rPr>
            <w:noProof/>
          </w:rPr>
          <w:t>7</w:t>
        </w:r>
        <w:r>
          <w:fldChar w:fldCharType="end"/>
        </w:r>
      </w:p>
    </w:sdtContent>
  </w:sdt>
  <w:p w:rsidR="007B3D0E" w:rsidRDefault="007B3D0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0A3D30"/>
    <w:lvl w:ilvl="0">
      <w:numFmt w:val="bullet"/>
      <w:lvlText w:val="*"/>
      <w:lvlJc w:val="left"/>
    </w:lvl>
  </w:abstractNum>
  <w:abstractNum w:abstractNumId="1" w15:restartNumberingAfterBreak="0">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15:restartNumberingAfterBreak="0">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0308E"/>
    <w:rsid w:val="00011F8E"/>
    <w:rsid w:val="00012B27"/>
    <w:rsid w:val="00040E51"/>
    <w:rsid w:val="00043551"/>
    <w:rsid w:val="00077314"/>
    <w:rsid w:val="00080080"/>
    <w:rsid w:val="000A36A0"/>
    <w:rsid w:val="000A4E0D"/>
    <w:rsid w:val="000C43DD"/>
    <w:rsid w:val="000D14A4"/>
    <w:rsid w:val="00110427"/>
    <w:rsid w:val="001122C6"/>
    <w:rsid w:val="0011243A"/>
    <w:rsid w:val="00116912"/>
    <w:rsid w:val="00124A44"/>
    <w:rsid w:val="00130892"/>
    <w:rsid w:val="001365BA"/>
    <w:rsid w:val="001723AD"/>
    <w:rsid w:val="00172712"/>
    <w:rsid w:val="00176B24"/>
    <w:rsid w:val="001960E3"/>
    <w:rsid w:val="001A063B"/>
    <w:rsid w:val="001A2F35"/>
    <w:rsid w:val="001A7B77"/>
    <w:rsid w:val="001C7650"/>
    <w:rsid w:val="001D1D01"/>
    <w:rsid w:val="001D6942"/>
    <w:rsid w:val="001F5078"/>
    <w:rsid w:val="00206DA1"/>
    <w:rsid w:val="0021347D"/>
    <w:rsid w:val="00216AA3"/>
    <w:rsid w:val="00223F76"/>
    <w:rsid w:val="002503E9"/>
    <w:rsid w:val="00261CCF"/>
    <w:rsid w:val="0027016F"/>
    <w:rsid w:val="002A2645"/>
    <w:rsid w:val="002D1CAE"/>
    <w:rsid w:val="002D3123"/>
    <w:rsid w:val="003004BD"/>
    <w:rsid w:val="003072C2"/>
    <w:rsid w:val="0033628B"/>
    <w:rsid w:val="00350838"/>
    <w:rsid w:val="00356753"/>
    <w:rsid w:val="00357927"/>
    <w:rsid w:val="00374B90"/>
    <w:rsid w:val="0038654A"/>
    <w:rsid w:val="00392179"/>
    <w:rsid w:val="003B2C06"/>
    <w:rsid w:val="003B7622"/>
    <w:rsid w:val="003E0A43"/>
    <w:rsid w:val="003E1393"/>
    <w:rsid w:val="003F5AB9"/>
    <w:rsid w:val="00441551"/>
    <w:rsid w:val="00447230"/>
    <w:rsid w:val="00462702"/>
    <w:rsid w:val="004727EC"/>
    <w:rsid w:val="004867F2"/>
    <w:rsid w:val="00496C12"/>
    <w:rsid w:val="004A5668"/>
    <w:rsid w:val="004B1DC3"/>
    <w:rsid w:val="004E3961"/>
    <w:rsid w:val="00532037"/>
    <w:rsid w:val="00554BE3"/>
    <w:rsid w:val="005839A1"/>
    <w:rsid w:val="005C2EEB"/>
    <w:rsid w:val="0061223A"/>
    <w:rsid w:val="006464FF"/>
    <w:rsid w:val="00661C73"/>
    <w:rsid w:val="00687BFE"/>
    <w:rsid w:val="00697157"/>
    <w:rsid w:val="006A36BE"/>
    <w:rsid w:val="006B7F8B"/>
    <w:rsid w:val="006D71BE"/>
    <w:rsid w:val="006F5CAE"/>
    <w:rsid w:val="007324B9"/>
    <w:rsid w:val="00737D61"/>
    <w:rsid w:val="00742DBE"/>
    <w:rsid w:val="00755F16"/>
    <w:rsid w:val="00756D2E"/>
    <w:rsid w:val="00760C75"/>
    <w:rsid w:val="0078107C"/>
    <w:rsid w:val="00782E12"/>
    <w:rsid w:val="007B3D0E"/>
    <w:rsid w:val="007C22F3"/>
    <w:rsid w:val="007D0533"/>
    <w:rsid w:val="007D25D5"/>
    <w:rsid w:val="00800A01"/>
    <w:rsid w:val="00823429"/>
    <w:rsid w:val="00844B80"/>
    <w:rsid w:val="00852974"/>
    <w:rsid w:val="008649C2"/>
    <w:rsid w:val="0086658D"/>
    <w:rsid w:val="00885ABE"/>
    <w:rsid w:val="008A45DC"/>
    <w:rsid w:val="008B4C3D"/>
    <w:rsid w:val="008C0574"/>
    <w:rsid w:val="008D1181"/>
    <w:rsid w:val="008D21E4"/>
    <w:rsid w:val="008D6D3E"/>
    <w:rsid w:val="008E016F"/>
    <w:rsid w:val="009667E8"/>
    <w:rsid w:val="00976A98"/>
    <w:rsid w:val="00982DA4"/>
    <w:rsid w:val="009847DA"/>
    <w:rsid w:val="009856B6"/>
    <w:rsid w:val="009A42C8"/>
    <w:rsid w:val="009D4936"/>
    <w:rsid w:val="009F0A0D"/>
    <w:rsid w:val="00A01DBE"/>
    <w:rsid w:val="00A10B92"/>
    <w:rsid w:val="00A55863"/>
    <w:rsid w:val="00A8298B"/>
    <w:rsid w:val="00AA0723"/>
    <w:rsid w:val="00AB148E"/>
    <w:rsid w:val="00AE09D9"/>
    <w:rsid w:val="00AE1834"/>
    <w:rsid w:val="00AE47D2"/>
    <w:rsid w:val="00AF457B"/>
    <w:rsid w:val="00B10CD8"/>
    <w:rsid w:val="00B36DEA"/>
    <w:rsid w:val="00B63137"/>
    <w:rsid w:val="00B67C94"/>
    <w:rsid w:val="00B83F2E"/>
    <w:rsid w:val="00BA3801"/>
    <w:rsid w:val="00BA4543"/>
    <w:rsid w:val="00BC24DE"/>
    <w:rsid w:val="00BD58E2"/>
    <w:rsid w:val="00BE2520"/>
    <w:rsid w:val="00C1305F"/>
    <w:rsid w:val="00C23744"/>
    <w:rsid w:val="00C25F79"/>
    <w:rsid w:val="00C4125C"/>
    <w:rsid w:val="00C47934"/>
    <w:rsid w:val="00C75959"/>
    <w:rsid w:val="00C81081"/>
    <w:rsid w:val="00C816FE"/>
    <w:rsid w:val="00CB50C4"/>
    <w:rsid w:val="00CB7981"/>
    <w:rsid w:val="00CD6C5B"/>
    <w:rsid w:val="00D025A0"/>
    <w:rsid w:val="00D127F5"/>
    <w:rsid w:val="00D2779A"/>
    <w:rsid w:val="00D44496"/>
    <w:rsid w:val="00D47619"/>
    <w:rsid w:val="00D74639"/>
    <w:rsid w:val="00DF4EDC"/>
    <w:rsid w:val="00DF7B07"/>
    <w:rsid w:val="00E15A9B"/>
    <w:rsid w:val="00E50CB1"/>
    <w:rsid w:val="00E90423"/>
    <w:rsid w:val="00E90EA3"/>
    <w:rsid w:val="00E9585D"/>
    <w:rsid w:val="00EC735B"/>
    <w:rsid w:val="00ED2922"/>
    <w:rsid w:val="00EE4FF8"/>
    <w:rsid w:val="00F33734"/>
    <w:rsid w:val="00F3468E"/>
    <w:rsid w:val="00F4415D"/>
    <w:rsid w:val="00F55B41"/>
    <w:rsid w:val="00F83224"/>
    <w:rsid w:val="00F97A75"/>
    <w:rsid w:val="00FD3387"/>
    <w:rsid w:val="00FD6C78"/>
    <w:rsid w:val="00FE02B0"/>
    <w:rsid w:val="00FE0DAB"/>
    <w:rsid w:val="00FE40F3"/>
    <w:rsid w:val="00F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6E06"/>
  <w15:docId w15:val="{FF80F801-9722-471E-8FFE-07CBAEF1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Заголовок Знак"/>
    <w:basedOn w:val="a0"/>
    <w:link w:val="ad"/>
    <w:rsid w:val="00D025A0"/>
    <w:rPr>
      <w:rFonts w:eastAsia="Times New Roman" w:cs="Times New Roman"/>
      <w:szCs w:val="20"/>
      <w:lang w:eastAsia="ru-RU"/>
    </w:rPr>
  </w:style>
  <w:style w:type="character" w:styleId="af">
    <w:name w:val="Hyperlink"/>
    <w:basedOn w:val="a0"/>
    <w:uiPriority w:val="99"/>
    <w:unhideWhenUsed/>
    <w:rsid w:val="006A3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C465-DE4D-4592-AC1B-81AFA29B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2317</Words>
  <Characters>13210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36</cp:revision>
  <cp:lastPrinted>2023-12-25T14:04:00Z</cp:lastPrinted>
  <dcterms:created xsi:type="dcterms:W3CDTF">2018-03-29T14:02:00Z</dcterms:created>
  <dcterms:modified xsi:type="dcterms:W3CDTF">2024-04-02T08:12:00Z</dcterms:modified>
</cp:coreProperties>
</file>