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60C75" w:rsidP="00EC735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E0DAB">
        <w:rPr>
          <w:sz w:val="28"/>
          <w:szCs w:val="28"/>
        </w:rPr>
        <w:t xml:space="preserve"> декабря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5-1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60C75" w:rsidRDefault="00760C75" w:rsidP="00760C75">
      <w:pPr>
        <w:rPr>
          <w:sz w:val="28"/>
          <w:szCs w:val="28"/>
        </w:rPr>
      </w:pPr>
      <w:r w:rsidRPr="00760C75">
        <w:rPr>
          <w:sz w:val="28"/>
          <w:szCs w:val="28"/>
        </w:rPr>
        <w:t xml:space="preserve">О проведении специальной оценки </w:t>
      </w:r>
    </w:p>
    <w:p w:rsidR="00760C75" w:rsidRDefault="00760C75" w:rsidP="00760C75">
      <w:pPr>
        <w:rPr>
          <w:sz w:val="28"/>
          <w:szCs w:val="28"/>
        </w:rPr>
      </w:pPr>
      <w:r w:rsidRPr="00760C75">
        <w:rPr>
          <w:sz w:val="28"/>
          <w:szCs w:val="28"/>
        </w:rPr>
        <w:t xml:space="preserve">условий труда на рабочих местах </w:t>
      </w:r>
      <w:proofErr w:type="gramStart"/>
      <w:r w:rsidRPr="00760C75">
        <w:rPr>
          <w:sz w:val="28"/>
          <w:szCs w:val="28"/>
        </w:rPr>
        <w:t>в</w:t>
      </w:r>
      <w:proofErr w:type="gramEnd"/>
      <w:r w:rsidRPr="00760C75">
        <w:rPr>
          <w:sz w:val="28"/>
          <w:szCs w:val="28"/>
        </w:rPr>
        <w:t xml:space="preserve"> </w:t>
      </w:r>
    </w:p>
    <w:p w:rsidR="00760C75" w:rsidRDefault="00760C75" w:rsidP="00760C75">
      <w:pPr>
        <w:rPr>
          <w:sz w:val="28"/>
          <w:szCs w:val="28"/>
        </w:rPr>
      </w:pPr>
      <w:proofErr w:type="gramStart"/>
      <w:r w:rsidRPr="00760C75">
        <w:rPr>
          <w:sz w:val="28"/>
          <w:szCs w:val="28"/>
        </w:rPr>
        <w:t>организациях</w:t>
      </w:r>
      <w:proofErr w:type="gramEnd"/>
      <w:r w:rsidRPr="00760C75">
        <w:rPr>
          <w:sz w:val="28"/>
          <w:szCs w:val="28"/>
        </w:rPr>
        <w:t xml:space="preserve"> Темрюкского района в 2022 году</w:t>
      </w:r>
    </w:p>
    <w:p w:rsidR="00760C75" w:rsidRDefault="00760C75" w:rsidP="00760C75">
      <w:pPr>
        <w:rPr>
          <w:sz w:val="28"/>
          <w:szCs w:val="28"/>
        </w:rPr>
      </w:pPr>
    </w:p>
    <w:p w:rsidR="00760C75" w:rsidRPr="00760C75" w:rsidRDefault="00760C75" w:rsidP="00760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0C75">
        <w:rPr>
          <w:sz w:val="28"/>
          <w:szCs w:val="28"/>
        </w:rPr>
        <w:t xml:space="preserve">а территории Темрюкского района Краснодарского края оказывают услуги в сфере охраны труда по проведению специальной оценки условий труда (далее СОУТ) следующие организации: </w:t>
      </w:r>
      <w:proofErr w:type="gramStart"/>
      <w:r w:rsidRPr="00760C75">
        <w:rPr>
          <w:sz w:val="28"/>
          <w:szCs w:val="28"/>
        </w:rPr>
        <w:t>ООО «</w:t>
      </w:r>
      <w:proofErr w:type="spellStart"/>
      <w:r w:rsidRPr="00760C75">
        <w:rPr>
          <w:sz w:val="28"/>
          <w:szCs w:val="28"/>
        </w:rPr>
        <w:t>Атон</w:t>
      </w:r>
      <w:proofErr w:type="spellEnd"/>
      <w:r w:rsidRPr="00760C75">
        <w:rPr>
          <w:sz w:val="28"/>
          <w:szCs w:val="28"/>
        </w:rPr>
        <w:t>-безопасность и охрана труда» г. Сочи, ООО «</w:t>
      </w:r>
      <w:proofErr w:type="spellStart"/>
      <w:r w:rsidRPr="00760C75">
        <w:rPr>
          <w:sz w:val="28"/>
          <w:szCs w:val="28"/>
        </w:rPr>
        <w:t>Экспертэгида</w:t>
      </w:r>
      <w:proofErr w:type="spellEnd"/>
      <w:r w:rsidRPr="00760C75">
        <w:rPr>
          <w:sz w:val="28"/>
          <w:szCs w:val="28"/>
        </w:rPr>
        <w:t>» г. Ростов-на-Дону, Некоммерческое партнерство Учебно-методический центр "Славянский" г. Славянск – на - Кубани, ООО  «</w:t>
      </w:r>
      <w:proofErr w:type="spellStart"/>
      <w:r w:rsidRPr="00760C75">
        <w:rPr>
          <w:sz w:val="28"/>
          <w:szCs w:val="28"/>
        </w:rPr>
        <w:t>Югополис</w:t>
      </w:r>
      <w:proofErr w:type="spellEnd"/>
      <w:r w:rsidRPr="00760C75">
        <w:rPr>
          <w:sz w:val="28"/>
          <w:szCs w:val="28"/>
        </w:rPr>
        <w:t>» г. Краснодар, ООО «Институт экспертизы условий труда» г. Москва, ООО «Эксперт-Сервис» г. Курганинск,  ООО «</w:t>
      </w:r>
      <w:proofErr w:type="spellStart"/>
      <w:r w:rsidRPr="00760C75">
        <w:rPr>
          <w:sz w:val="28"/>
          <w:szCs w:val="28"/>
        </w:rPr>
        <w:t>ДонРесурс</w:t>
      </w:r>
      <w:proofErr w:type="spellEnd"/>
      <w:r w:rsidRPr="00760C75">
        <w:rPr>
          <w:sz w:val="28"/>
          <w:szCs w:val="28"/>
        </w:rPr>
        <w:t>» г. Таганрог, ООО «</w:t>
      </w:r>
      <w:proofErr w:type="spellStart"/>
      <w:r w:rsidRPr="00760C75">
        <w:rPr>
          <w:sz w:val="28"/>
          <w:szCs w:val="28"/>
        </w:rPr>
        <w:t>ЭсАрДжи</w:t>
      </w:r>
      <w:proofErr w:type="spellEnd"/>
      <w:r w:rsidRPr="00760C75">
        <w:rPr>
          <w:sz w:val="28"/>
          <w:szCs w:val="28"/>
        </w:rPr>
        <w:t>-Эко» г. Москва.</w:t>
      </w:r>
      <w:proofErr w:type="gramEnd"/>
    </w:p>
    <w:p w:rsidR="00760C75" w:rsidRPr="00760C75" w:rsidRDefault="00760C75" w:rsidP="00760C75">
      <w:pPr>
        <w:ind w:firstLine="708"/>
        <w:jc w:val="both"/>
        <w:rPr>
          <w:sz w:val="28"/>
          <w:szCs w:val="28"/>
        </w:rPr>
      </w:pPr>
      <w:r w:rsidRPr="00760C75">
        <w:rPr>
          <w:sz w:val="28"/>
          <w:szCs w:val="28"/>
        </w:rPr>
        <w:t xml:space="preserve">Центр занятости населения Темрюкского района в соответствии с приказом Министерства труда и социальной защиты РФ от 3 марта 2022 г. №101 «О проведении общероссийского мониторинга условий и охраны труда» ежеквартально проводит мониторинг состояния работы по проведению СОУТ в организациях и индивидуальных предпринимателей муниципального образования Темрюкский район. По итогам 9 месяцев 2022 года составлен анализ СОУТ в организациях Темрюкского района. По сведениям Федеральной информационной системы (ФГИС) по состоянию на 01.10.2022 года в организациях муниципального образования Темрюкский район за 5 лет (с 2017 года по 2021 год) и 9 месяцев 2022 года СОУТ </w:t>
      </w:r>
      <w:proofErr w:type="gramStart"/>
      <w:r w:rsidRPr="00760C75">
        <w:rPr>
          <w:sz w:val="28"/>
          <w:szCs w:val="28"/>
        </w:rPr>
        <w:t>проведена</w:t>
      </w:r>
      <w:proofErr w:type="gramEnd"/>
      <w:r w:rsidRPr="00760C75">
        <w:rPr>
          <w:sz w:val="28"/>
          <w:szCs w:val="28"/>
        </w:rPr>
        <w:t xml:space="preserve"> на 15760  рабочих местах, на которых заняты 23943 работника, что составляет  95,0 % от общего количества рабочих мест. В частности СОУТ </w:t>
      </w:r>
      <w:proofErr w:type="gramStart"/>
      <w:r w:rsidRPr="00760C75">
        <w:rPr>
          <w:sz w:val="28"/>
          <w:szCs w:val="28"/>
        </w:rPr>
        <w:t>проведена</w:t>
      </w:r>
      <w:proofErr w:type="gramEnd"/>
      <w:r w:rsidRPr="00760C75">
        <w:rPr>
          <w:sz w:val="28"/>
          <w:szCs w:val="28"/>
        </w:rPr>
        <w:t xml:space="preserve">: в 2017 году на 1030 рабочих местах; в 2018 году на 2516 рабочих местах; в 2019 году на 4062 рабочих местах; в 2020 году на 1098 рабочих местах; в 2021 году на 4418 рабочих местах; в 2022 году на 2546 рабочих местах. Оптимальные и допустимые условия труда (класс 1 и 2) по данным мониторинга в результате проведения СОУТ установлены на 11962 рабочих местах. Вредные условия труда зафиксированы на 3792 рабочих местах, в том числе:  по классу 3.1 – 2574 </w:t>
      </w:r>
      <w:proofErr w:type="spellStart"/>
      <w:r w:rsidRPr="00760C75">
        <w:rPr>
          <w:sz w:val="28"/>
          <w:szCs w:val="28"/>
        </w:rPr>
        <w:t>р.м</w:t>
      </w:r>
      <w:proofErr w:type="spellEnd"/>
      <w:r w:rsidRPr="00760C75">
        <w:rPr>
          <w:sz w:val="28"/>
          <w:szCs w:val="28"/>
        </w:rPr>
        <w:t xml:space="preserve">.; по классу 3.2. – 1150 </w:t>
      </w:r>
      <w:proofErr w:type="spellStart"/>
      <w:r w:rsidRPr="00760C75">
        <w:rPr>
          <w:sz w:val="28"/>
          <w:szCs w:val="28"/>
        </w:rPr>
        <w:t>р.м</w:t>
      </w:r>
      <w:proofErr w:type="spellEnd"/>
      <w:r w:rsidRPr="00760C75">
        <w:rPr>
          <w:sz w:val="28"/>
          <w:szCs w:val="28"/>
        </w:rPr>
        <w:t xml:space="preserve">.; по классу 3.3. – 68 </w:t>
      </w:r>
      <w:proofErr w:type="spellStart"/>
      <w:r w:rsidRPr="00760C75">
        <w:rPr>
          <w:sz w:val="28"/>
          <w:szCs w:val="28"/>
        </w:rPr>
        <w:t>р.м</w:t>
      </w:r>
      <w:proofErr w:type="spellEnd"/>
      <w:r w:rsidRPr="00760C75">
        <w:rPr>
          <w:sz w:val="28"/>
          <w:szCs w:val="28"/>
        </w:rPr>
        <w:t xml:space="preserve">.; по классу 3.4. – 0 </w:t>
      </w:r>
      <w:proofErr w:type="spellStart"/>
      <w:r w:rsidRPr="00760C75">
        <w:rPr>
          <w:sz w:val="28"/>
          <w:szCs w:val="28"/>
        </w:rPr>
        <w:t>р.м</w:t>
      </w:r>
      <w:proofErr w:type="spellEnd"/>
      <w:r w:rsidRPr="00760C75">
        <w:rPr>
          <w:sz w:val="28"/>
          <w:szCs w:val="28"/>
        </w:rPr>
        <w:t xml:space="preserve">. С опасными условиями труда (класс 4) выявлено 6 рабочих места. По результатам СОУТ, проведённой в период с 2017 года по 01.10.2022 года, были улучшены условия труда на  576 рабочих местах. В отношении рабочих мест, на которых вредные и (или) опасные производственные факторы не выявлены, а также условия </w:t>
      </w:r>
      <w:proofErr w:type="gramStart"/>
      <w:r w:rsidRPr="00760C75">
        <w:rPr>
          <w:sz w:val="28"/>
          <w:szCs w:val="28"/>
        </w:rPr>
        <w:t>труда</w:t>
      </w:r>
      <w:proofErr w:type="gramEnd"/>
      <w:r w:rsidRPr="00760C75">
        <w:rPr>
          <w:sz w:val="28"/>
          <w:szCs w:val="28"/>
        </w:rPr>
        <w:t xml:space="preserve"> на которых признаны оптимальными или допустимыми, работодателями подается в государственную инспекцию Краснодарского края декларация соответствия условий труда государственным нормативным </w:t>
      </w:r>
      <w:r w:rsidRPr="00760C75">
        <w:rPr>
          <w:sz w:val="28"/>
          <w:szCs w:val="28"/>
        </w:rPr>
        <w:lastRenderedPageBreak/>
        <w:t xml:space="preserve">требованиям охраны труда. Количество рабочих мест, задекларированных на соответствие условий труда государственным нормативным требованиям охраны труда из числа рабочих мест на которых была проведена СОУТ в период с 2017 года по 01.10.2022 года, составило 7774 рабочих места. В 2022 году СОУТ </w:t>
      </w:r>
      <w:proofErr w:type="gramStart"/>
      <w:r w:rsidRPr="00760C75">
        <w:rPr>
          <w:sz w:val="28"/>
          <w:szCs w:val="28"/>
        </w:rPr>
        <w:t>проведена</w:t>
      </w:r>
      <w:proofErr w:type="gramEnd"/>
      <w:r w:rsidRPr="00760C75">
        <w:rPr>
          <w:sz w:val="28"/>
          <w:szCs w:val="28"/>
        </w:rPr>
        <w:t xml:space="preserve"> у таких работодателей как: </w:t>
      </w:r>
      <w:proofErr w:type="gramStart"/>
      <w:r w:rsidRPr="00760C75">
        <w:rPr>
          <w:sz w:val="28"/>
          <w:szCs w:val="28"/>
        </w:rPr>
        <w:t>Таманский почтамт УФПС Краснодарского края «Почта России», ООО «</w:t>
      </w:r>
      <w:proofErr w:type="spellStart"/>
      <w:r w:rsidRPr="00760C75">
        <w:rPr>
          <w:sz w:val="28"/>
          <w:szCs w:val="28"/>
        </w:rPr>
        <w:t>Трансоптимал</w:t>
      </w:r>
      <w:proofErr w:type="spellEnd"/>
      <w:r w:rsidRPr="00760C75">
        <w:rPr>
          <w:sz w:val="28"/>
          <w:szCs w:val="28"/>
        </w:rPr>
        <w:t xml:space="preserve"> Тамань», МКУ ЦУМТБО, ООО «Волна Тамани», Темрюкская ТТП, ГКОУ Школа-интернат г. Темрюка, МБУ «Тамань-Благоустройство», ООО «Коньячный завод «Темрюк», ИП Кадыров Р.М.,  МБУ ДО ДШИ пос. Юбилейный, МБУК «</w:t>
      </w:r>
      <w:proofErr w:type="spellStart"/>
      <w:r w:rsidRPr="00760C75">
        <w:rPr>
          <w:sz w:val="28"/>
          <w:szCs w:val="28"/>
        </w:rPr>
        <w:t>Краснострельский</w:t>
      </w:r>
      <w:proofErr w:type="spellEnd"/>
      <w:r w:rsidRPr="00760C75">
        <w:rPr>
          <w:sz w:val="28"/>
          <w:szCs w:val="28"/>
        </w:rPr>
        <w:t xml:space="preserve"> КСЦ» </w:t>
      </w:r>
      <w:proofErr w:type="spellStart"/>
      <w:r w:rsidRPr="00760C75">
        <w:rPr>
          <w:sz w:val="28"/>
          <w:szCs w:val="28"/>
        </w:rPr>
        <w:t>Краснострельского</w:t>
      </w:r>
      <w:proofErr w:type="spellEnd"/>
      <w:r w:rsidRPr="00760C75">
        <w:rPr>
          <w:sz w:val="28"/>
          <w:szCs w:val="28"/>
        </w:rPr>
        <w:t xml:space="preserve">  сельского поселения Темрюкского района, ООО «</w:t>
      </w:r>
      <w:proofErr w:type="spellStart"/>
      <w:r w:rsidRPr="00760C75">
        <w:rPr>
          <w:sz w:val="28"/>
          <w:szCs w:val="28"/>
        </w:rPr>
        <w:t>Таманьспецстрой</w:t>
      </w:r>
      <w:proofErr w:type="spellEnd"/>
      <w:r w:rsidRPr="00760C75">
        <w:rPr>
          <w:sz w:val="28"/>
          <w:szCs w:val="28"/>
        </w:rPr>
        <w:t>», ООО «ЭСКДЭ»,  АО «Передний край», ИП Алещенко Н.В.,  ООО «ОТЭКО-Терминал», ООО «Тамань-Агент», ООО</w:t>
      </w:r>
      <w:proofErr w:type="gramEnd"/>
      <w:r w:rsidRPr="00760C75">
        <w:rPr>
          <w:sz w:val="28"/>
          <w:szCs w:val="28"/>
        </w:rPr>
        <w:t xml:space="preserve"> «Морской терминал-Тамань», ООО «агентство </w:t>
      </w:r>
      <w:proofErr w:type="gramStart"/>
      <w:r w:rsidRPr="00760C75">
        <w:rPr>
          <w:sz w:val="28"/>
          <w:szCs w:val="28"/>
        </w:rPr>
        <w:t>Кавказ-Логистик</w:t>
      </w:r>
      <w:proofErr w:type="gramEnd"/>
      <w:r w:rsidRPr="00760C75">
        <w:rPr>
          <w:sz w:val="28"/>
          <w:szCs w:val="28"/>
        </w:rPr>
        <w:t xml:space="preserve">», ГБУ СО КК «Темрюкский ПНИ», МБУК «РДК» МОТР, АО «Правобережный»,  ГБУ СО КК «Темрюкский КЦСОН», </w:t>
      </w:r>
      <w:proofErr w:type="spellStart"/>
      <w:r w:rsidRPr="00760C75">
        <w:rPr>
          <w:sz w:val="28"/>
          <w:szCs w:val="28"/>
        </w:rPr>
        <w:t>Теманское</w:t>
      </w:r>
      <w:proofErr w:type="spellEnd"/>
      <w:r w:rsidRPr="00760C75">
        <w:rPr>
          <w:sz w:val="28"/>
          <w:szCs w:val="28"/>
        </w:rPr>
        <w:t xml:space="preserve"> </w:t>
      </w:r>
      <w:proofErr w:type="spellStart"/>
      <w:r w:rsidRPr="00760C75">
        <w:rPr>
          <w:sz w:val="28"/>
          <w:szCs w:val="28"/>
        </w:rPr>
        <w:t>кправление</w:t>
      </w:r>
      <w:proofErr w:type="spellEnd"/>
      <w:r w:rsidRPr="00760C75">
        <w:rPr>
          <w:sz w:val="28"/>
          <w:szCs w:val="28"/>
        </w:rPr>
        <w:t xml:space="preserve"> Азово-Черноморского бассейнового филиала ФГУП «</w:t>
      </w:r>
      <w:proofErr w:type="spellStart"/>
      <w:r w:rsidRPr="00760C75">
        <w:rPr>
          <w:sz w:val="28"/>
          <w:szCs w:val="28"/>
        </w:rPr>
        <w:t>Росморпорт</w:t>
      </w:r>
      <w:proofErr w:type="spellEnd"/>
      <w:r w:rsidRPr="00760C75">
        <w:rPr>
          <w:sz w:val="28"/>
          <w:szCs w:val="28"/>
        </w:rPr>
        <w:t xml:space="preserve">»,  ИП </w:t>
      </w:r>
      <w:proofErr w:type="spellStart"/>
      <w:r w:rsidRPr="00760C75">
        <w:rPr>
          <w:sz w:val="28"/>
          <w:szCs w:val="28"/>
        </w:rPr>
        <w:t>Гасангусейнов</w:t>
      </w:r>
      <w:proofErr w:type="spellEnd"/>
      <w:r w:rsidRPr="00760C75">
        <w:rPr>
          <w:sz w:val="28"/>
          <w:szCs w:val="28"/>
        </w:rPr>
        <w:t xml:space="preserve"> О.М., ООО «ЭФКО-АМК» и др. </w:t>
      </w:r>
    </w:p>
    <w:p w:rsidR="00760C75" w:rsidRPr="00760C75" w:rsidRDefault="00760C75" w:rsidP="00760C75">
      <w:pPr>
        <w:ind w:firstLine="708"/>
        <w:jc w:val="both"/>
        <w:rPr>
          <w:sz w:val="28"/>
          <w:szCs w:val="28"/>
        </w:rPr>
      </w:pPr>
      <w:proofErr w:type="gramStart"/>
      <w:r w:rsidRPr="00760C75">
        <w:rPr>
          <w:sz w:val="28"/>
          <w:szCs w:val="28"/>
        </w:rPr>
        <w:t>В соответствии с Законом Краснодарского края от 3 июня 1998 года №133-КЗ «Об охране труда» в целях приведения условий труда работников в соответствии с установленными требованиями и предоставления гарантий и компенсаций работающим во вредных и (или) опасных условиях труда в организациях  района, во исполнение Трудового кодекса РФ Темрюкская районная трёхсторонняя комиссия</w:t>
      </w:r>
      <w:proofErr w:type="gramEnd"/>
    </w:p>
    <w:p w:rsidR="00216AA3" w:rsidRDefault="00216AA3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1. Информацию о ходе проведения специальной оценки условий труда в муниципальном образовании Темрюкский район в 2022 году принять к сведению.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2. Руководителям организаций всех форм собственности и индивидуальным предпринимателям рекомендовать: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2.1. Продолжать в 2023 году проведение специальной оценки условий труда на всех рабочих местах с последующей подачей декларации соответствия условий труда в отношении рабочих мест, на которых вредные и (или) опасные факторы производственной среды и трудового процесса не выявлены.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 xml:space="preserve">2.2. Обратить внимание на выполнение мероприятий, направленных на улучшение условий труда работников после проведения специальной оценки условия труда. 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 xml:space="preserve">2.3. Предоставлять работникам предусмотренные трудовым законодательством соответствующие гарантии и компенсации по результатам проведения специальной оценки условий труда. 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3. ГКУ КК ЦЗН Темрюкского района: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 xml:space="preserve">3.1. Продолжать осуществление мониторинга проведения работодателями муниципального образования Темрюкского района специальной оценки условий труда.  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lastRenderedPageBreak/>
        <w:t>3.2. Проводить информационно-разъяснительную работу о необходимости проведения специальной оценки условий труда, в том числе о целях и задачах ее проведения.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4. Администрации муниципального образования Темрюкский район: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4.1. При взаимодействии с администрациями городского и сельских поселений Темрюкского района, ГКУ КК ЦЗН Темрюкского района продолжить проведение постоянной разъяснительной работы по вопросам проведения специальной оценки условий труда через средства массовой информации и путем размещения информации на сайте администрации муниципального образования Темрюкский район.</w:t>
      </w:r>
    </w:p>
    <w:p w:rsidR="0021347D" w:rsidRPr="0021347D" w:rsidRDefault="0021347D" w:rsidP="0021347D">
      <w:pPr>
        <w:ind w:firstLine="708"/>
        <w:jc w:val="both"/>
        <w:rPr>
          <w:sz w:val="28"/>
          <w:szCs w:val="28"/>
        </w:rPr>
      </w:pPr>
      <w:r w:rsidRPr="0021347D">
        <w:rPr>
          <w:sz w:val="28"/>
          <w:szCs w:val="28"/>
        </w:rPr>
        <w:t>4.2.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216AA3" w:rsidRDefault="00216AA3" w:rsidP="00BD58E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216AA3" w:rsidRDefault="00216AA3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60C75">
        <w:rPr>
          <w:sz w:val="28"/>
          <w:szCs w:val="28"/>
        </w:rPr>
        <w:t>27.12.2022</w:t>
      </w:r>
      <w:r w:rsidR="00C4125C">
        <w:rPr>
          <w:sz w:val="28"/>
          <w:szCs w:val="28"/>
        </w:rPr>
        <w:t xml:space="preserve"> года № </w:t>
      </w:r>
      <w:r w:rsidR="00760C75">
        <w:rPr>
          <w:sz w:val="28"/>
          <w:szCs w:val="28"/>
        </w:rPr>
        <w:t>5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0C75" w:rsidRPr="00760C75">
        <w:rPr>
          <w:sz w:val="28"/>
          <w:szCs w:val="28"/>
        </w:rPr>
        <w:t>О проведении специальной оценки условий труда на рабочих местах в организациях Темрюкского района в 2022 году</w:t>
      </w:r>
      <w:bookmarkStart w:id="0" w:name="_GoBack"/>
      <w:bookmarkEnd w:id="0"/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9A" w:rsidRDefault="00D2779A" w:rsidP="001C7650">
      <w:r>
        <w:separator/>
      </w:r>
    </w:p>
  </w:endnote>
  <w:endnote w:type="continuationSeparator" w:id="0">
    <w:p w:rsidR="00D2779A" w:rsidRDefault="00D2779A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9A" w:rsidRDefault="00D2779A" w:rsidP="001C7650">
      <w:r>
        <w:separator/>
      </w:r>
    </w:p>
  </w:footnote>
  <w:footnote w:type="continuationSeparator" w:id="0">
    <w:p w:rsidR="00D2779A" w:rsidRDefault="00D2779A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24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7B77"/>
    <w:rsid w:val="001C7650"/>
    <w:rsid w:val="001D1D01"/>
    <w:rsid w:val="001F5078"/>
    <w:rsid w:val="00206DA1"/>
    <w:rsid w:val="0021347D"/>
    <w:rsid w:val="00216AA3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C846-BC05-433A-9244-B5F7B33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26</cp:revision>
  <cp:lastPrinted>2013-04-09T06:53:00Z</cp:lastPrinted>
  <dcterms:created xsi:type="dcterms:W3CDTF">2018-03-29T14:02:00Z</dcterms:created>
  <dcterms:modified xsi:type="dcterms:W3CDTF">2022-12-28T12:22:00Z</dcterms:modified>
</cp:coreProperties>
</file>