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r>
        <w:rPr>
          <w:b/>
          <w:sz w:val="28"/>
          <w:szCs w:val="28"/>
        </w:rPr>
        <w:t xml:space="preserve">Р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FE0DAB" w:rsidP="00EC735B">
      <w:pPr>
        <w:rPr>
          <w:sz w:val="28"/>
          <w:szCs w:val="28"/>
        </w:rPr>
      </w:pPr>
      <w:r>
        <w:rPr>
          <w:sz w:val="28"/>
          <w:szCs w:val="28"/>
        </w:rPr>
        <w:t>16 декабря</w:t>
      </w:r>
      <w:r w:rsidR="00BD58E2">
        <w:rPr>
          <w:sz w:val="28"/>
          <w:szCs w:val="28"/>
        </w:rPr>
        <w:t xml:space="preserve"> </w:t>
      </w:r>
      <w:r w:rsidR="001122C6">
        <w:rPr>
          <w:sz w:val="28"/>
          <w:szCs w:val="28"/>
        </w:rPr>
        <w:t>202</w:t>
      </w:r>
      <w:r w:rsidR="006F5CAE">
        <w:rPr>
          <w:sz w:val="28"/>
          <w:szCs w:val="28"/>
        </w:rPr>
        <w:t>1</w:t>
      </w:r>
      <w:r w:rsidR="00EC735B">
        <w:rPr>
          <w:sz w:val="28"/>
          <w:szCs w:val="28"/>
        </w:rPr>
        <w:t xml:space="preserve"> года                                              </w:t>
      </w:r>
      <w:r w:rsidR="00BD58E2">
        <w:rPr>
          <w:sz w:val="28"/>
          <w:szCs w:val="28"/>
        </w:rPr>
        <w:t xml:space="preserve">                           </w:t>
      </w:r>
      <w:r w:rsidR="00EC735B">
        <w:rPr>
          <w:sz w:val="28"/>
          <w:szCs w:val="28"/>
        </w:rPr>
        <w:t xml:space="preserve">    </w:t>
      </w:r>
      <w:r w:rsidR="004727EC">
        <w:rPr>
          <w:sz w:val="28"/>
          <w:szCs w:val="28"/>
        </w:rPr>
        <w:t xml:space="preserve">       </w:t>
      </w:r>
      <w:r w:rsidR="00EC735B">
        <w:rPr>
          <w:sz w:val="28"/>
          <w:szCs w:val="28"/>
        </w:rPr>
        <w:t xml:space="preserve">     № </w:t>
      </w:r>
      <w:r>
        <w:rPr>
          <w:sz w:val="28"/>
          <w:szCs w:val="28"/>
        </w:rPr>
        <w:t>6</w:t>
      </w:r>
      <w:r w:rsidR="00C25F79">
        <w:rPr>
          <w:sz w:val="28"/>
          <w:szCs w:val="28"/>
        </w:rPr>
        <w:t>-</w:t>
      </w:r>
      <w:r w:rsidR="005C2EEB">
        <w:rPr>
          <w:sz w:val="28"/>
          <w:szCs w:val="28"/>
        </w:rPr>
        <w:t>1</w:t>
      </w:r>
    </w:p>
    <w:p w:rsidR="00BD58E2" w:rsidRPr="00FE0DAB" w:rsidRDefault="00BD58E2" w:rsidP="00EC735B">
      <w:pPr>
        <w:overflowPunct w:val="0"/>
        <w:autoSpaceDE w:val="0"/>
        <w:autoSpaceDN w:val="0"/>
        <w:adjustRightInd w:val="0"/>
        <w:jc w:val="both"/>
        <w:textAlignment w:val="baseline"/>
        <w:rPr>
          <w:i/>
          <w:spacing w:val="9"/>
          <w:sz w:val="28"/>
          <w:szCs w:val="28"/>
        </w:rPr>
      </w:pPr>
    </w:p>
    <w:p w:rsidR="00FE0DAB" w:rsidRDefault="00FE0DAB" w:rsidP="00FE0DAB">
      <w:pPr>
        <w:pStyle w:val="aa"/>
        <w:jc w:val="both"/>
        <w:rPr>
          <w:sz w:val="28"/>
          <w:szCs w:val="28"/>
        </w:rPr>
      </w:pPr>
      <w:r w:rsidRPr="00FE0DAB">
        <w:rPr>
          <w:sz w:val="28"/>
          <w:szCs w:val="28"/>
        </w:rPr>
        <w:t xml:space="preserve">О выполнении работодателями района </w:t>
      </w:r>
    </w:p>
    <w:p w:rsidR="00FE0DAB" w:rsidRDefault="00FE0DAB" w:rsidP="00FE0DAB">
      <w:pPr>
        <w:pStyle w:val="aa"/>
        <w:jc w:val="both"/>
        <w:rPr>
          <w:sz w:val="28"/>
          <w:szCs w:val="28"/>
        </w:rPr>
      </w:pPr>
      <w:r w:rsidRPr="00FE0DAB">
        <w:rPr>
          <w:sz w:val="28"/>
          <w:szCs w:val="28"/>
        </w:rPr>
        <w:t xml:space="preserve">Регионального соглашения о минимальной </w:t>
      </w:r>
    </w:p>
    <w:p w:rsidR="00FE0DAB" w:rsidRDefault="00FE0DAB" w:rsidP="00FE0DAB">
      <w:pPr>
        <w:pStyle w:val="aa"/>
        <w:jc w:val="both"/>
        <w:rPr>
          <w:sz w:val="28"/>
          <w:szCs w:val="28"/>
        </w:rPr>
      </w:pPr>
      <w:r w:rsidRPr="00FE0DAB">
        <w:rPr>
          <w:sz w:val="28"/>
          <w:szCs w:val="28"/>
        </w:rPr>
        <w:t xml:space="preserve">заработной плате в Краснодарском крае </w:t>
      </w:r>
    </w:p>
    <w:p w:rsidR="00FE0DAB" w:rsidRPr="00FE0DAB" w:rsidRDefault="00FE0DAB" w:rsidP="00FE0DAB">
      <w:pPr>
        <w:pStyle w:val="aa"/>
        <w:jc w:val="both"/>
        <w:rPr>
          <w:sz w:val="28"/>
          <w:szCs w:val="28"/>
        </w:rPr>
      </w:pPr>
      <w:r w:rsidRPr="00FE0DAB">
        <w:rPr>
          <w:sz w:val="28"/>
          <w:szCs w:val="28"/>
        </w:rPr>
        <w:t>по результатам проведенного мониторинга</w:t>
      </w:r>
    </w:p>
    <w:p w:rsidR="00FE0DAB" w:rsidRPr="00216AA3" w:rsidRDefault="00FE0DAB" w:rsidP="00EC735B">
      <w:pPr>
        <w:overflowPunct w:val="0"/>
        <w:autoSpaceDE w:val="0"/>
        <w:autoSpaceDN w:val="0"/>
        <w:adjustRightInd w:val="0"/>
        <w:jc w:val="both"/>
        <w:textAlignment w:val="baseline"/>
        <w:rPr>
          <w:spacing w:val="9"/>
          <w:sz w:val="28"/>
          <w:szCs w:val="28"/>
        </w:rPr>
      </w:pPr>
    </w:p>
    <w:p w:rsidR="006A36BE" w:rsidRPr="006A36BE" w:rsidRDefault="006A36BE" w:rsidP="006A36BE">
      <w:pPr>
        <w:pStyle w:val="aa"/>
        <w:ind w:firstLine="708"/>
        <w:jc w:val="both"/>
        <w:rPr>
          <w:sz w:val="28"/>
          <w:szCs w:val="28"/>
        </w:rPr>
      </w:pPr>
      <w:r>
        <w:rPr>
          <w:sz w:val="28"/>
          <w:szCs w:val="28"/>
        </w:rPr>
        <w:t>С</w:t>
      </w:r>
      <w:r w:rsidRPr="006A36BE">
        <w:rPr>
          <w:sz w:val="28"/>
          <w:szCs w:val="28"/>
        </w:rPr>
        <w:t xml:space="preserve"> 1 января 2021 года изменены алгоритмы расчёта величин прожиточного минимума и минимального размера оплаты труда в Российской Федерации. Поправки внесены в федеральные законы от 24.10.1997 года № 134-ФЗ «О прожиточном минимуме в РФ» и от 19.06.2000 года № 82-ФЗ «О минимальном размере оплаты труда» (в редакции от 29.12.2020 года № 473-ФЗ).</w:t>
      </w:r>
    </w:p>
    <w:p w:rsidR="006A36BE" w:rsidRPr="006A36BE" w:rsidRDefault="006A36BE" w:rsidP="006A36BE">
      <w:pPr>
        <w:pStyle w:val="aa"/>
        <w:ind w:firstLine="708"/>
        <w:jc w:val="both"/>
        <w:rPr>
          <w:sz w:val="28"/>
          <w:szCs w:val="28"/>
        </w:rPr>
      </w:pPr>
      <w:r w:rsidRPr="006A36BE">
        <w:rPr>
          <w:sz w:val="28"/>
          <w:szCs w:val="28"/>
        </w:rPr>
        <w:t>С 1 января 2021 года на территории Российской Федерации установлен минимальный размер оплаты труда в сумме 12 792 рубля в месяц.</w:t>
      </w:r>
    </w:p>
    <w:p w:rsidR="006A36BE" w:rsidRPr="006A36BE" w:rsidRDefault="006A36BE" w:rsidP="006A36BE">
      <w:pPr>
        <w:pStyle w:val="aa"/>
        <w:jc w:val="both"/>
        <w:rPr>
          <w:sz w:val="28"/>
          <w:szCs w:val="28"/>
        </w:rPr>
      </w:pPr>
      <w:r w:rsidRPr="006A36BE">
        <w:rPr>
          <w:sz w:val="28"/>
          <w:szCs w:val="28"/>
        </w:rPr>
        <w:t xml:space="preserve">В соответствии со ст. 133 ТК РФ месячная заработная плата работника, полностью отработавшего за этот период норму рабочего времени и </w:t>
      </w:r>
      <w:r w:rsidRPr="00216AA3">
        <w:rPr>
          <w:sz w:val="28"/>
          <w:szCs w:val="28"/>
        </w:rPr>
        <w:t>выполнившего </w:t>
      </w:r>
      <w:hyperlink r:id="rId8" w:anchor="dst0" w:history="1">
        <w:r w:rsidRPr="00216AA3">
          <w:rPr>
            <w:rStyle w:val="af"/>
            <w:spacing w:val="9"/>
            <w:sz w:val="28"/>
            <w:szCs w:val="28"/>
            <w:u w:val="none"/>
          </w:rPr>
          <w:t>нормы труда</w:t>
        </w:r>
      </w:hyperlink>
      <w:r w:rsidRPr="006A36BE">
        <w:rPr>
          <w:sz w:val="28"/>
          <w:szCs w:val="28"/>
        </w:rPr>
        <w:t xml:space="preserve"> (трудовые обязанности), не может быть ниже минимального размера оплаты труда.      </w:t>
      </w:r>
    </w:p>
    <w:p w:rsidR="006A36BE" w:rsidRPr="006A36BE" w:rsidRDefault="006A36BE" w:rsidP="006A36BE">
      <w:pPr>
        <w:pStyle w:val="aa"/>
        <w:ind w:firstLine="708"/>
        <w:jc w:val="both"/>
        <w:rPr>
          <w:sz w:val="28"/>
          <w:szCs w:val="28"/>
        </w:rPr>
      </w:pPr>
      <w:r w:rsidRPr="006A36BE">
        <w:rPr>
          <w:sz w:val="28"/>
          <w:szCs w:val="28"/>
        </w:rPr>
        <w:t xml:space="preserve">При этом в Краснодарском крае для работающего населения (за исключением работников бюджетных организаций) действует Региональное соглашение о минимальной заработной плате на 2018-2020 годы, продленное Краснодарской краевой трехсторонней комиссией по регулированию социально-трудовых отношений 7 декабря 2020 года на 2021-2023 годы. </w:t>
      </w:r>
    </w:p>
    <w:p w:rsidR="006A36BE" w:rsidRPr="006A36BE" w:rsidRDefault="006A36BE" w:rsidP="006A36BE">
      <w:pPr>
        <w:pStyle w:val="aa"/>
        <w:ind w:firstLine="708"/>
        <w:jc w:val="both"/>
        <w:rPr>
          <w:sz w:val="28"/>
          <w:szCs w:val="28"/>
        </w:rPr>
      </w:pPr>
      <w:r w:rsidRPr="006A36BE">
        <w:rPr>
          <w:sz w:val="28"/>
          <w:szCs w:val="28"/>
        </w:rPr>
        <w:t>Минимальная заработная плата, в соответствии с Соглашением, установлена в размере величины прожиточного минимума для трудоспособного населения в Краснодарском крае (с 1 октября 2020 года применяется величина за II квартал 2020 года, а именно 12298 руб.).</w:t>
      </w:r>
    </w:p>
    <w:p w:rsidR="006A36BE" w:rsidRPr="006A36BE" w:rsidRDefault="006A36BE" w:rsidP="006A36BE">
      <w:pPr>
        <w:pStyle w:val="aa"/>
        <w:ind w:firstLine="708"/>
        <w:jc w:val="both"/>
        <w:rPr>
          <w:sz w:val="28"/>
          <w:szCs w:val="28"/>
        </w:rPr>
      </w:pPr>
      <w:r w:rsidRPr="006A36BE">
        <w:rPr>
          <w:sz w:val="28"/>
          <w:szCs w:val="28"/>
        </w:rPr>
        <w:t xml:space="preserve">Размер минимальной заработной платы, установленный действующим Соглашением, включает оплату за труд работника, полностью отработавшего норму рабочего времени, выполнившего нормы труда (трудовые обязанности), по тарифной ставке либо окладу (должностному окладу), без учета компенсационных, стимулирующих и социальных выплат.  </w:t>
      </w:r>
    </w:p>
    <w:p w:rsidR="006A36BE" w:rsidRPr="006A36BE" w:rsidRDefault="006A36BE" w:rsidP="006A36BE">
      <w:pPr>
        <w:pStyle w:val="aa"/>
        <w:ind w:firstLine="708"/>
        <w:jc w:val="both"/>
        <w:rPr>
          <w:sz w:val="28"/>
          <w:szCs w:val="28"/>
        </w:rPr>
      </w:pPr>
      <w:r w:rsidRPr="006A36BE">
        <w:rPr>
          <w:sz w:val="28"/>
          <w:szCs w:val="28"/>
        </w:rPr>
        <w:t xml:space="preserve">Поэтому при установлении работнику месячного должностного оклада либо тарифной ставки учитывается требования Регионального соглашения. </w:t>
      </w:r>
    </w:p>
    <w:p w:rsidR="006A36BE" w:rsidRPr="006A36BE" w:rsidRDefault="006A36BE" w:rsidP="006A36BE">
      <w:pPr>
        <w:pStyle w:val="aa"/>
        <w:jc w:val="both"/>
        <w:rPr>
          <w:sz w:val="28"/>
          <w:szCs w:val="28"/>
        </w:rPr>
      </w:pPr>
      <w:r w:rsidRPr="006A36BE">
        <w:rPr>
          <w:sz w:val="28"/>
          <w:szCs w:val="28"/>
        </w:rPr>
        <w:t>По состоянию на 16 декабря 2021 года работодателей, не соблюдающих требования Регионального соглашения о минимальной заработной плате в Краснодарском крае, не выявлено.</w:t>
      </w:r>
    </w:p>
    <w:p w:rsidR="006A36BE" w:rsidRPr="006A36BE" w:rsidRDefault="006A36BE" w:rsidP="006A36BE">
      <w:pPr>
        <w:pStyle w:val="aa"/>
        <w:ind w:firstLine="708"/>
        <w:jc w:val="both"/>
        <w:rPr>
          <w:sz w:val="28"/>
          <w:szCs w:val="28"/>
        </w:rPr>
      </w:pPr>
      <w:r>
        <w:rPr>
          <w:sz w:val="28"/>
          <w:szCs w:val="28"/>
        </w:rPr>
        <w:t>В</w:t>
      </w:r>
      <w:r w:rsidRPr="006A36BE">
        <w:rPr>
          <w:sz w:val="28"/>
          <w:szCs w:val="28"/>
        </w:rPr>
        <w:t xml:space="preserve"> администрации муниципального образования Темрюкский район функционирует межведомственная комиссия по укреплению налоговой и бюджетной дисциплины, легализации налоговой базы и базы по страховым взносам, по принятию мер, направленных на погашение организациями района </w:t>
      </w:r>
      <w:r w:rsidRPr="006A36BE">
        <w:rPr>
          <w:sz w:val="28"/>
          <w:szCs w:val="28"/>
        </w:rPr>
        <w:lastRenderedPageBreak/>
        <w:t>долгов по заработной плате, в рамках которой в том числе рассматриваются вопросы выплаты заработной платы ниже прожиточного минимума или МРОТ и ниже среднеотраслевого уровня. За 11 месяцев 2021 года проведено 17 заседаний межведомственных комиссии, приглашено и заслушано 588 налогоплательщиков, в том числе 64  налогоплательщика по вопросу легализации налоговой базы по НДФЛ. Их них 61 налогоплательщик по вопросу выплаты заработной платы ниже прожиточного уровня. Руководителям организаций, индивидуальным предпринимателям и главам КФХ рекомендовано представить в ИФНС по Темрюкскому району штатное расписание, действующее с 01.01.2021 г., табеля учета рабочего времени с целью подтверждения сведений о фактически отработанном сотрудниками организации времени, заключать трудовые договора при использовании труда наемных работников.</w:t>
      </w:r>
    </w:p>
    <w:p w:rsidR="006A36BE" w:rsidRPr="006A36BE" w:rsidRDefault="006A36BE" w:rsidP="006A36BE">
      <w:pPr>
        <w:pStyle w:val="aa"/>
        <w:ind w:firstLine="708"/>
        <w:jc w:val="both"/>
        <w:rPr>
          <w:sz w:val="28"/>
          <w:szCs w:val="28"/>
        </w:rPr>
      </w:pPr>
      <w:r w:rsidRPr="006A36BE">
        <w:rPr>
          <w:sz w:val="28"/>
          <w:szCs w:val="28"/>
        </w:rPr>
        <w:t>Для</w:t>
      </w:r>
      <w:r w:rsidRPr="006A36BE">
        <w:rPr>
          <w:b/>
          <w:sz w:val="28"/>
          <w:szCs w:val="28"/>
        </w:rPr>
        <w:t xml:space="preserve"> </w:t>
      </w:r>
      <w:r w:rsidRPr="006A36BE">
        <w:rPr>
          <w:sz w:val="28"/>
          <w:szCs w:val="28"/>
        </w:rPr>
        <w:t>повышения эффективности администрирования НДФЛ в районе  проводится информационная кампания по легализации заработной платы с целью побуждения налогоплательщиков к самостоятельному исполнению и уточнению налоговых обязательств и неукоснительному соблюдению налогового и трудового законодательства. Информация о результатах межведомственных комиссий по легализации заработной платы размещается на официальном сайте муниципального образования Темрюкский район.</w:t>
      </w:r>
    </w:p>
    <w:p w:rsidR="006A36BE" w:rsidRPr="006A36BE" w:rsidRDefault="006A36BE" w:rsidP="006A36BE">
      <w:pPr>
        <w:pStyle w:val="aa"/>
        <w:ind w:firstLine="708"/>
        <w:jc w:val="both"/>
        <w:rPr>
          <w:sz w:val="28"/>
          <w:szCs w:val="28"/>
        </w:rPr>
      </w:pPr>
      <w:r w:rsidRPr="006A36BE">
        <w:rPr>
          <w:sz w:val="28"/>
          <w:szCs w:val="28"/>
        </w:rPr>
        <w:t xml:space="preserve">Во исполнение ст. 133.1 Трудового кодекса РФ и Регионального соглашения о минимальной заработной плате в Краснодарском крае Темрюкская районная трехсторонняя комиссия по регулированию социально-трудовых отношений </w:t>
      </w:r>
    </w:p>
    <w:p w:rsidR="00216AA3" w:rsidRDefault="00216AA3" w:rsidP="008C0574">
      <w:pPr>
        <w:jc w:val="both"/>
        <w:rPr>
          <w:b/>
          <w:sz w:val="28"/>
          <w:szCs w:val="28"/>
        </w:rPr>
      </w:pPr>
    </w:p>
    <w:p w:rsidR="008C0574" w:rsidRDefault="008C0574" w:rsidP="008C0574">
      <w:pPr>
        <w:jc w:val="both"/>
        <w:rPr>
          <w:sz w:val="28"/>
          <w:szCs w:val="28"/>
        </w:rPr>
      </w:pPr>
      <w:r w:rsidRPr="008C0574">
        <w:rPr>
          <w:b/>
          <w:sz w:val="28"/>
          <w:szCs w:val="28"/>
        </w:rPr>
        <w:t>РЕШИЛА</w:t>
      </w:r>
      <w:r>
        <w:rPr>
          <w:sz w:val="28"/>
          <w:szCs w:val="28"/>
        </w:rPr>
        <w:t>:</w:t>
      </w:r>
    </w:p>
    <w:p w:rsidR="00216AA3" w:rsidRPr="00216AA3" w:rsidRDefault="00216AA3" w:rsidP="00216AA3">
      <w:pPr>
        <w:ind w:firstLine="708"/>
        <w:jc w:val="both"/>
        <w:rPr>
          <w:sz w:val="28"/>
          <w:szCs w:val="28"/>
        </w:rPr>
      </w:pPr>
      <w:r w:rsidRPr="00216AA3">
        <w:rPr>
          <w:sz w:val="28"/>
          <w:szCs w:val="28"/>
        </w:rPr>
        <w:t>1. Рекомендовать работодателям Темрюкского района:</w:t>
      </w:r>
    </w:p>
    <w:p w:rsidR="00216AA3" w:rsidRPr="00216AA3" w:rsidRDefault="00216AA3" w:rsidP="00216AA3">
      <w:pPr>
        <w:ind w:firstLine="708"/>
        <w:jc w:val="both"/>
        <w:rPr>
          <w:sz w:val="28"/>
          <w:szCs w:val="28"/>
        </w:rPr>
      </w:pPr>
      <w:r w:rsidRPr="00216AA3">
        <w:rPr>
          <w:sz w:val="28"/>
          <w:szCs w:val="28"/>
        </w:rPr>
        <w:t>1.1. Соблюдать требования Регионального соглашения о минимальной заработной плате в Краснодарском крае на 2021-2023 годы.</w:t>
      </w:r>
    </w:p>
    <w:p w:rsidR="00216AA3" w:rsidRPr="00216AA3" w:rsidRDefault="00216AA3" w:rsidP="00216AA3">
      <w:pPr>
        <w:ind w:firstLine="708"/>
        <w:jc w:val="both"/>
        <w:rPr>
          <w:sz w:val="28"/>
          <w:szCs w:val="28"/>
        </w:rPr>
      </w:pPr>
      <w:r w:rsidRPr="00216AA3">
        <w:rPr>
          <w:sz w:val="28"/>
          <w:szCs w:val="28"/>
        </w:rPr>
        <w:t xml:space="preserve">1.2. Устанавливать тарифную ставку либо оклад (должностной оклад) работникам не ниже величины прожиточного минимума для трудоспособного населения в Краснодарском крае. </w:t>
      </w:r>
    </w:p>
    <w:p w:rsidR="00216AA3" w:rsidRPr="00216AA3" w:rsidRDefault="00216AA3" w:rsidP="00216AA3">
      <w:pPr>
        <w:ind w:firstLine="708"/>
        <w:jc w:val="both"/>
        <w:rPr>
          <w:sz w:val="28"/>
          <w:szCs w:val="28"/>
        </w:rPr>
      </w:pPr>
      <w:r w:rsidRPr="00216AA3">
        <w:rPr>
          <w:sz w:val="28"/>
          <w:szCs w:val="28"/>
        </w:rPr>
        <w:t>1.3. Своевременно предоставлять информацию о минимальном размере оплаты труда в рамках проведения мониторинга о соблюдении Регионального соглашения в ГКУ КК ЦЗН Темрюкского района.</w:t>
      </w:r>
    </w:p>
    <w:p w:rsidR="00216AA3" w:rsidRPr="00216AA3" w:rsidRDefault="00216AA3" w:rsidP="00216AA3">
      <w:pPr>
        <w:ind w:firstLine="708"/>
        <w:jc w:val="both"/>
        <w:rPr>
          <w:sz w:val="28"/>
          <w:szCs w:val="28"/>
        </w:rPr>
      </w:pPr>
      <w:r w:rsidRPr="00216AA3">
        <w:rPr>
          <w:sz w:val="28"/>
          <w:szCs w:val="28"/>
        </w:rPr>
        <w:t>2. Администрации муниципального образования Темрюкский район продолжить информационную кампания по легализации заработной платы и неукоснительному соблюдению работодателями трудового законодательства.</w:t>
      </w:r>
    </w:p>
    <w:p w:rsidR="00DF4EDC" w:rsidRDefault="00216AA3" w:rsidP="00216AA3">
      <w:pPr>
        <w:ind w:firstLine="708"/>
        <w:jc w:val="both"/>
        <w:rPr>
          <w:sz w:val="28"/>
          <w:szCs w:val="28"/>
        </w:rPr>
      </w:pPr>
      <w:r w:rsidRPr="00216AA3">
        <w:rPr>
          <w:sz w:val="28"/>
          <w:szCs w:val="28"/>
        </w:rPr>
        <w:t>2.1. Администрации муниципального образования Темрюкский район разместить настоящее решение на официальном сайте администрации муниципального образования Темрюкский район.</w:t>
      </w:r>
    </w:p>
    <w:p w:rsidR="00216AA3" w:rsidRDefault="00216AA3" w:rsidP="00BD58E2">
      <w:pPr>
        <w:ind w:firstLine="708"/>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F97619">
        <w:trPr>
          <w:trHeight w:val="1971"/>
        </w:trPr>
        <w:tc>
          <w:tcPr>
            <w:tcW w:w="3828" w:type="dxa"/>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О.В. Дяденко</w:t>
            </w:r>
          </w:p>
        </w:tc>
        <w:tc>
          <w:tcPr>
            <w:tcW w:w="3402" w:type="dxa"/>
            <w:tcBorders>
              <w:left w:val="nil"/>
            </w:tcBorders>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5C2EEB" w:rsidP="008C0574">
            <w:pPr>
              <w:jc w:val="both"/>
              <w:rPr>
                <w:sz w:val="28"/>
                <w:szCs w:val="28"/>
              </w:rPr>
            </w:pPr>
            <w:r>
              <w:rPr>
                <w:sz w:val="28"/>
                <w:szCs w:val="28"/>
              </w:rPr>
              <w:t>Т.Н. Кокоха</w:t>
            </w:r>
          </w:p>
        </w:tc>
        <w:tc>
          <w:tcPr>
            <w:tcW w:w="3119" w:type="dxa"/>
            <w:tcBorders>
              <w:left w:val="nil"/>
            </w:tcBorders>
          </w:tcPr>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директор МУП ТР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1122C6" w:rsidRDefault="001122C6"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216AA3" w:rsidRDefault="00216AA3" w:rsidP="008C0574">
      <w:pPr>
        <w:jc w:val="center"/>
        <w:rPr>
          <w:b/>
          <w:sz w:val="28"/>
          <w:szCs w:val="28"/>
        </w:rPr>
      </w:pPr>
    </w:p>
    <w:p w:rsidR="008C0574" w:rsidRPr="008C0574" w:rsidRDefault="008C0574" w:rsidP="008C0574">
      <w:pPr>
        <w:jc w:val="center"/>
        <w:rPr>
          <w:b/>
          <w:sz w:val="28"/>
          <w:szCs w:val="28"/>
        </w:rPr>
      </w:pPr>
      <w:r w:rsidRPr="008C0574">
        <w:rPr>
          <w:b/>
          <w:sz w:val="28"/>
          <w:szCs w:val="28"/>
        </w:rPr>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FE0DAB">
        <w:rPr>
          <w:sz w:val="28"/>
          <w:szCs w:val="28"/>
        </w:rPr>
        <w:t>16</w:t>
      </w:r>
      <w:r w:rsidR="00BD58E2">
        <w:rPr>
          <w:sz w:val="28"/>
          <w:szCs w:val="28"/>
        </w:rPr>
        <w:t>.</w:t>
      </w:r>
      <w:r w:rsidR="00FE0DAB">
        <w:rPr>
          <w:sz w:val="28"/>
          <w:szCs w:val="28"/>
        </w:rPr>
        <w:t>12</w:t>
      </w:r>
      <w:r w:rsidR="001122C6">
        <w:rPr>
          <w:sz w:val="28"/>
          <w:szCs w:val="28"/>
        </w:rPr>
        <w:t>.202</w:t>
      </w:r>
      <w:r w:rsidR="004E3961">
        <w:rPr>
          <w:sz w:val="28"/>
          <w:szCs w:val="28"/>
        </w:rPr>
        <w:t>1</w:t>
      </w:r>
      <w:r w:rsidR="00C4125C">
        <w:rPr>
          <w:sz w:val="28"/>
          <w:szCs w:val="28"/>
        </w:rPr>
        <w:t xml:space="preserve"> года № </w:t>
      </w:r>
      <w:r w:rsidR="00FE0DAB">
        <w:rPr>
          <w:sz w:val="28"/>
          <w:szCs w:val="28"/>
        </w:rPr>
        <w:t>6</w:t>
      </w:r>
      <w:r w:rsidRPr="008C0574">
        <w:rPr>
          <w:sz w:val="28"/>
          <w:szCs w:val="28"/>
        </w:rPr>
        <w:t>-</w:t>
      </w:r>
      <w:r w:rsidR="005C2EEB">
        <w:rPr>
          <w:sz w:val="28"/>
          <w:szCs w:val="28"/>
        </w:rPr>
        <w:t>1</w:t>
      </w:r>
    </w:p>
    <w:p w:rsidR="00E9585D" w:rsidRPr="008C0574" w:rsidRDefault="008C0574" w:rsidP="008C0574">
      <w:pPr>
        <w:jc w:val="both"/>
        <w:rPr>
          <w:sz w:val="28"/>
          <w:szCs w:val="28"/>
        </w:rPr>
      </w:pPr>
      <w:r>
        <w:rPr>
          <w:sz w:val="28"/>
          <w:szCs w:val="28"/>
        </w:rPr>
        <w:t>«</w:t>
      </w:r>
      <w:r w:rsidR="00FE0DAB" w:rsidRPr="00FE0DAB">
        <w:rPr>
          <w:sz w:val="28"/>
          <w:szCs w:val="28"/>
        </w:rPr>
        <w:t>О выполнении работодателями района Регионального соглашения о минимальной заработной плате в Краснодарском крае по результатам проведенного мониторинга</w:t>
      </w:r>
      <w:r>
        <w:rPr>
          <w:sz w:val="28"/>
          <w:szCs w:val="28"/>
        </w:rPr>
        <w:t>»</w:t>
      </w:r>
      <w:r w:rsidR="00AE47D2">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О.В. Дяденко – 1 экз.</w:t>
      </w:r>
    </w:p>
    <w:p w:rsidR="008C0574" w:rsidRPr="008C0574" w:rsidRDefault="005C2EEB" w:rsidP="008C0574">
      <w:pPr>
        <w:numPr>
          <w:ilvl w:val="0"/>
          <w:numId w:val="1"/>
        </w:numPr>
        <w:jc w:val="both"/>
        <w:rPr>
          <w:sz w:val="28"/>
          <w:szCs w:val="28"/>
        </w:rPr>
      </w:pPr>
      <w:r>
        <w:rPr>
          <w:sz w:val="28"/>
          <w:szCs w:val="28"/>
        </w:rPr>
        <w:t>Т.Н. Кокоха</w:t>
      </w:r>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374B90" w:rsidRPr="008C0574" w:rsidRDefault="00374B90"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EC735B" w:rsidRDefault="00EC735B" w:rsidP="00EC735B"/>
    <w:p w:rsidR="00EC735B" w:rsidRDefault="00EC735B" w:rsidP="00EC735B"/>
    <w:p w:rsidR="000A36A0" w:rsidRDefault="000A36A0">
      <w:bookmarkStart w:id="0" w:name="_GoBack"/>
      <w:bookmarkEnd w:id="0"/>
    </w:p>
    <w:sectPr w:rsidR="000A36A0" w:rsidSect="00216AA3">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81" w:rsidRDefault="00CB7981" w:rsidP="001C7650">
      <w:r>
        <w:separator/>
      </w:r>
    </w:p>
  </w:endnote>
  <w:endnote w:type="continuationSeparator" w:id="0">
    <w:p w:rsidR="00CB7981" w:rsidRDefault="00CB7981"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81" w:rsidRDefault="00CB7981" w:rsidP="001C7650">
      <w:r>
        <w:separator/>
      </w:r>
    </w:p>
  </w:footnote>
  <w:footnote w:type="continuationSeparator" w:id="0">
    <w:p w:rsidR="00CB7981" w:rsidRDefault="00CB7981" w:rsidP="001C7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0D" w:rsidRDefault="00BA4543" w:rsidP="009F0A0D">
    <w:pPr>
      <w:pStyle w:val="a5"/>
      <w:framePr w:wrap="around" w:vAnchor="text" w:hAnchor="margin" w:xAlign="center" w:y="1"/>
      <w:rPr>
        <w:rStyle w:val="a7"/>
      </w:rPr>
    </w:pPr>
    <w:r>
      <w:rPr>
        <w:rStyle w:val="a7"/>
      </w:rPr>
      <w:fldChar w:fldCharType="begin"/>
    </w:r>
    <w:r w:rsidR="00EC735B">
      <w:rPr>
        <w:rStyle w:val="a7"/>
      </w:rPr>
      <w:instrText xml:space="preserve">PAGE  </w:instrText>
    </w:r>
    <w:r>
      <w:rPr>
        <w:rStyle w:val="a7"/>
      </w:rPr>
      <w:fldChar w:fldCharType="end"/>
    </w:r>
  </w:p>
  <w:p w:rsidR="009F0A0D" w:rsidRDefault="009F0A0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83655"/>
      <w:docPartObj>
        <w:docPartGallery w:val="Page Numbers (Top of Page)"/>
        <w:docPartUnique/>
      </w:docPartObj>
    </w:sdtPr>
    <w:sdtEndPr/>
    <w:sdtContent>
      <w:p w:rsidR="007B3D0E" w:rsidRDefault="007B3D0E">
        <w:pPr>
          <w:pStyle w:val="a5"/>
          <w:jc w:val="center"/>
        </w:pPr>
        <w:r>
          <w:fldChar w:fldCharType="begin"/>
        </w:r>
        <w:r>
          <w:instrText>PAGE   \* MERGEFORMAT</w:instrText>
        </w:r>
        <w:r>
          <w:fldChar w:fldCharType="separate"/>
        </w:r>
        <w:r w:rsidR="00216AA3">
          <w:rPr>
            <w:noProof/>
          </w:rPr>
          <w:t>4</w:t>
        </w:r>
        <w:r>
          <w:fldChar w:fldCharType="end"/>
        </w:r>
      </w:p>
    </w:sdtContent>
  </w:sdt>
  <w:p w:rsidR="007B3D0E" w:rsidRDefault="007B3D0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0A3D30"/>
    <w:lvl w:ilvl="0">
      <w:numFmt w:val="bullet"/>
      <w:lvlText w:val="*"/>
      <w:lvlJc w:val="left"/>
    </w:lvl>
  </w:abstractNum>
  <w:abstractNum w:abstractNumId="1" w15:restartNumberingAfterBreak="0">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15:restartNumberingAfterBreak="0">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0308E"/>
    <w:rsid w:val="00011F8E"/>
    <w:rsid w:val="00012B27"/>
    <w:rsid w:val="00040E51"/>
    <w:rsid w:val="00043551"/>
    <w:rsid w:val="00077314"/>
    <w:rsid w:val="00080080"/>
    <w:rsid w:val="000A36A0"/>
    <w:rsid w:val="000A4E0D"/>
    <w:rsid w:val="000C43DD"/>
    <w:rsid w:val="000D14A4"/>
    <w:rsid w:val="00110427"/>
    <w:rsid w:val="001122C6"/>
    <w:rsid w:val="0011243A"/>
    <w:rsid w:val="00116912"/>
    <w:rsid w:val="00130892"/>
    <w:rsid w:val="001365BA"/>
    <w:rsid w:val="001723AD"/>
    <w:rsid w:val="00172712"/>
    <w:rsid w:val="001960E3"/>
    <w:rsid w:val="001A063B"/>
    <w:rsid w:val="001A7B77"/>
    <w:rsid w:val="001C7650"/>
    <w:rsid w:val="001D1D01"/>
    <w:rsid w:val="001F5078"/>
    <w:rsid w:val="00206DA1"/>
    <w:rsid w:val="00216AA3"/>
    <w:rsid w:val="00223F76"/>
    <w:rsid w:val="002503E9"/>
    <w:rsid w:val="00261CCF"/>
    <w:rsid w:val="002A2645"/>
    <w:rsid w:val="002D1CAE"/>
    <w:rsid w:val="002D3123"/>
    <w:rsid w:val="003004BD"/>
    <w:rsid w:val="003072C2"/>
    <w:rsid w:val="0033628B"/>
    <w:rsid w:val="00350838"/>
    <w:rsid w:val="00357927"/>
    <w:rsid w:val="00374B90"/>
    <w:rsid w:val="0038654A"/>
    <w:rsid w:val="00392179"/>
    <w:rsid w:val="003B2C06"/>
    <w:rsid w:val="003E0A43"/>
    <w:rsid w:val="003F5AB9"/>
    <w:rsid w:val="00441551"/>
    <w:rsid w:val="00447230"/>
    <w:rsid w:val="00462702"/>
    <w:rsid w:val="004727EC"/>
    <w:rsid w:val="004867F2"/>
    <w:rsid w:val="00496C12"/>
    <w:rsid w:val="004B1DC3"/>
    <w:rsid w:val="004E3961"/>
    <w:rsid w:val="00532037"/>
    <w:rsid w:val="00554BE3"/>
    <w:rsid w:val="005839A1"/>
    <w:rsid w:val="005C2EEB"/>
    <w:rsid w:val="006464FF"/>
    <w:rsid w:val="00661C73"/>
    <w:rsid w:val="00687BFE"/>
    <w:rsid w:val="00697157"/>
    <w:rsid w:val="006A36BE"/>
    <w:rsid w:val="006B7F8B"/>
    <w:rsid w:val="006D71BE"/>
    <w:rsid w:val="006F5CAE"/>
    <w:rsid w:val="007324B9"/>
    <w:rsid w:val="00737D61"/>
    <w:rsid w:val="00742DBE"/>
    <w:rsid w:val="00755F16"/>
    <w:rsid w:val="00756D2E"/>
    <w:rsid w:val="0078107C"/>
    <w:rsid w:val="00782E12"/>
    <w:rsid w:val="007B3D0E"/>
    <w:rsid w:val="007C22F3"/>
    <w:rsid w:val="007D0533"/>
    <w:rsid w:val="00800A01"/>
    <w:rsid w:val="00823429"/>
    <w:rsid w:val="00844B80"/>
    <w:rsid w:val="00852974"/>
    <w:rsid w:val="008649C2"/>
    <w:rsid w:val="0086658D"/>
    <w:rsid w:val="00885ABE"/>
    <w:rsid w:val="008A45DC"/>
    <w:rsid w:val="008B4C3D"/>
    <w:rsid w:val="008C0574"/>
    <w:rsid w:val="008D1181"/>
    <w:rsid w:val="008D21E4"/>
    <w:rsid w:val="008D6D3E"/>
    <w:rsid w:val="008E016F"/>
    <w:rsid w:val="009667E8"/>
    <w:rsid w:val="00976A98"/>
    <w:rsid w:val="00982DA4"/>
    <w:rsid w:val="009847DA"/>
    <w:rsid w:val="009856B6"/>
    <w:rsid w:val="009A42C8"/>
    <w:rsid w:val="009D4936"/>
    <w:rsid w:val="009F0A0D"/>
    <w:rsid w:val="00A01DBE"/>
    <w:rsid w:val="00A55863"/>
    <w:rsid w:val="00A8298B"/>
    <w:rsid w:val="00AA0723"/>
    <w:rsid w:val="00AB148E"/>
    <w:rsid w:val="00AE09D9"/>
    <w:rsid w:val="00AE1834"/>
    <w:rsid w:val="00AE47D2"/>
    <w:rsid w:val="00B10CD8"/>
    <w:rsid w:val="00B36DEA"/>
    <w:rsid w:val="00B63137"/>
    <w:rsid w:val="00B67C94"/>
    <w:rsid w:val="00B83F2E"/>
    <w:rsid w:val="00BA4543"/>
    <w:rsid w:val="00BC24DE"/>
    <w:rsid w:val="00BD58E2"/>
    <w:rsid w:val="00BE2520"/>
    <w:rsid w:val="00C1305F"/>
    <w:rsid w:val="00C25F79"/>
    <w:rsid w:val="00C4125C"/>
    <w:rsid w:val="00C47934"/>
    <w:rsid w:val="00C75959"/>
    <w:rsid w:val="00C81081"/>
    <w:rsid w:val="00C816FE"/>
    <w:rsid w:val="00CB50C4"/>
    <w:rsid w:val="00CB7981"/>
    <w:rsid w:val="00CD6C5B"/>
    <w:rsid w:val="00D025A0"/>
    <w:rsid w:val="00D127F5"/>
    <w:rsid w:val="00D44496"/>
    <w:rsid w:val="00D47619"/>
    <w:rsid w:val="00DF4EDC"/>
    <w:rsid w:val="00E15A9B"/>
    <w:rsid w:val="00E50CB1"/>
    <w:rsid w:val="00E90423"/>
    <w:rsid w:val="00E90EA3"/>
    <w:rsid w:val="00E9585D"/>
    <w:rsid w:val="00EC735B"/>
    <w:rsid w:val="00ED2922"/>
    <w:rsid w:val="00EE4FF8"/>
    <w:rsid w:val="00F33734"/>
    <w:rsid w:val="00F4415D"/>
    <w:rsid w:val="00F55B41"/>
    <w:rsid w:val="00F83224"/>
    <w:rsid w:val="00F97A75"/>
    <w:rsid w:val="00FD6C78"/>
    <w:rsid w:val="00FE02B0"/>
    <w:rsid w:val="00FE0DAB"/>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D7D8"/>
  <w15:docId w15:val="{280F41DB-35B8-4F00-A0BF-7A1B90B6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Заголовок Знак"/>
    <w:basedOn w:val="a0"/>
    <w:link w:val="ad"/>
    <w:rsid w:val="00D025A0"/>
    <w:rPr>
      <w:rFonts w:eastAsia="Times New Roman" w:cs="Times New Roman"/>
      <w:szCs w:val="20"/>
      <w:lang w:eastAsia="ru-RU"/>
    </w:rPr>
  </w:style>
  <w:style w:type="character" w:styleId="af">
    <w:name w:val="Hyperlink"/>
    <w:basedOn w:val="a0"/>
    <w:uiPriority w:val="99"/>
    <w:unhideWhenUsed/>
    <w:rsid w:val="006A3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2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C1F1-B7DD-4B42-B5DC-CC2DDC2A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Zemlyakova Svetlana Grigorievna</cp:lastModifiedBy>
  <cp:revision>23</cp:revision>
  <cp:lastPrinted>2013-04-09T06:53:00Z</cp:lastPrinted>
  <dcterms:created xsi:type="dcterms:W3CDTF">2018-03-29T14:02:00Z</dcterms:created>
  <dcterms:modified xsi:type="dcterms:W3CDTF">2021-12-23T12:51:00Z</dcterms:modified>
</cp:coreProperties>
</file>