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80" w:rsidRPr="00303F96" w:rsidRDefault="00303F96" w:rsidP="00775180">
      <w:pPr>
        <w:jc w:val="center"/>
        <w:rPr>
          <w:b/>
          <w:sz w:val="28"/>
          <w:szCs w:val="28"/>
        </w:rPr>
      </w:pPr>
      <w:r w:rsidRPr="00303F96">
        <w:rPr>
          <w:b/>
          <w:sz w:val="28"/>
          <w:szCs w:val="28"/>
        </w:rPr>
        <w:t>Итоги работы с обращениями граждан</w:t>
      </w:r>
      <w:r w:rsidR="00775180" w:rsidRPr="00303F96">
        <w:rPr>
          <w:b/>
          <w:sz w:val="28"/>
          <w:szCs w:val="28"/>
        </w:rPr>
        <w:t xml:space="preserve"> </w:t>
      </w:r>
    </w:p>
    <w:p w:rsidR="00775180" w:rsidRPr="00303F96" w:rsidRDefault="00775180" w:rsidP="00303F96">
      <w:pPr>
        <w:jc w:val="center"/>
        <w:rPr>
          <w:b/>
          <w:sz w:val="28"/>
          <w:szCs w:val="28"/>
        </w:rPr>
      </w:pPr>
      <w:r w:rsidRPr="00303F96">
        <w:rPr>
          <w:b/>
          <w:sz w:val="28"/>
          <w:szCs w:val="28"/>
        </w:rPr>
        <w:t xml:space="preserve"> за  2013 год</w:t>
      </w:r>
      <w:bookmarkStart w:id="0" w:name="_GoBack"/>
      <w:bookmarkEnd w:id="0"/>
    </w:p>
    <w:p w:rsidR="00775180" w:rsidRPr="00FD1C05" w:rsidRDefault="00775180" w:rsidP="00775180">
      <w:pPr>
        <w:jc w:val="center"/>
        <w:rPr>
          <w:sz w:val="28"/>
          <w:szCs w:val="28"/>
        </w:rPr>
      </w:pPr>
    </w:p>
    <w:p w:rsidR="00775180" w:rsidRPr="00FD1C05" w:rsidRDefault="00775180" w:rsidP="00775180">
      <w:pPr>
        <w:jc w:val="both"/>
        <w:rPr>
          <w:sz w:val="28"/>
          <w:szCs w:val="28"/>
        </w:rPr>
      </w:pPr>
      <w:r w:rsidRPr="00FD1C05">
        <w:rPr>
          <w:sz w:val="28"/>
          <w:szCs w:val="28"/>
        </w:rPr>
        <w:tab/>
      </w:r>
      <w:proofErr w:type="gramStart"/>
      <w:r w:rsidRPr="00FD1C05">
        <w:rPr>
          <w:sz w:val="28"/>
          <w:szCs w:val="28"/>
        </w:rPr>
        <w:t>Администрацией муниципального образования Темрюкский район, администрациями городского и сельских поселений района работа с предложениями, заявлениями, жалобами граждан велась в соответствии с Конституцией Российской Федерации, Федеральным законом от 02 мая 2006 года 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Законом Краснодарского края</w:t>
      </w:r>
      <w:proofErr w:type="gramEnd"/>
      <w:r w:rsidRPr="00FD1C05">
        <w:rPr>
          <w:sz w:val="28"/>
          <w:szCs w:val="28"/>
        </w:rPr>
        <w:t xml:space="preserve"> от 28 июня 2007 года № 1270-КЗ «О дополнительных гарантиях реализации права граждан на обращения в Краснодарском крае», Законом Краснодарского края № 2000-КЗ от 16.07.2010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Порядком работы с обращениями граждан в администрации муниципального образования Темрюкский район, утвержденным постановлением администрации муниципального образования Темрюкский район от 27 марта 2013 года № 432.       </w:t>
      </w:r>
    </w:p>
    <w:p w:rsidR="00775180" w:rsidRPr="00297FD5" w:rsidRDefault="00775180" w:rsidP="00775180">
      <w:pPr>
        <w:pStyle w:val="a4"/>
        <w:rPr>
          <w:b/>
          <w:szCs w:val="28"/>
        </w:rPr>
      </w:pPr>
      <w:r w:rsidRPr="00297FD5">
        <w:rPr>
          <w:b/>
          <w:szCs w:val="28"/>
        </w:rPr>
        <w:t xml:space="preserve"> </w:t>
      </w:r>
    </w:p>
    <w:p w:rsidR="00775180" w:rsidRPr="00D3355D" w:rsidRDefault="00775180" w:rsidP="00775180">
      <w:pPr>
        <w:pStyle w:val="a4"/>
        <w:rPr>
          <w:szCs w:val="28"/>
        </w:rPr>
      </w:pPr>
      <w:r w:rsidRPr="00F4460E">
        <w:rPr>
          <w:szCs w:val="28"/>
        </w:rPr>
        <w:t xml:space="preserve">                                                                                                              Диаграмма№ 1                                                                                                                                             </w:t>
      </w:r>
    </w:p>
    <w:p w:rsidR="00775180" w:rsidRPr="00F4460E" w:rsidRDefault="00775180" w:rsidP="00775180">
      <w:pPr>
        <w:jc w:val="center"/>
        <w:rPr>
          <w:sz w:val="28"/>
          <w:szCs w:val="28"/>
        </w:rPr>
      </w:pPr>
      <w:r w:rsidRPr="00F4460E">
        <w:rPr>
          <w:sz w:val="28"/>
          <w:szCs w:val="28"/>
        </w:rPr>
        <w:t>Количество письменных и устных обращений граждан, поступивших в администрацию муниципального о</w:t>
      </w:r>
      <w:r>
        <w:rPr>
          <w:sz w:val="28"/>
          <w:szCs w:val="28"/>
        </w:rPr>
        <w:t>бразования Темрюкский район за 12 месяцев</w:t>
      </w:r>
      <w:r w:rsidRPr="00F4460E">
        <w:rPr>
          <w:sz w:val="28"/>
          <w:szCs w:val="28"/>
        </w:rPr>
        <w:t>2013 гг.</w:t>
      </w:r>
    </w:p>
    <w:p w:rsidR="00775180" w:rsidRPr="00F4460E" w:rsidRDefault="00775180" w:rsidP="00775180">
      <w:pPr>
        <w:pStyle w:val="a4"/>
        <w:ind w:firstLine="705"/>
        <w:rPr>
          <w:szCs w:val="28"/>
        </w:rPr>
      </w:pPr>
      <w:r>
        <w:rPr>
          <w:noProof/>
        </w:rPr>
        <w:drawing>
          <wp:inline distT="0" distB="0" distL="0" distR="0">
            <wp:extent cx="5438775" cy="37814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5180" w:rsidRPr="00F4460E" w:rsidRDefault="00775180" w:rsidP="00775180">
      <w:pPr>
        <w:pStyle w:val="a4"/>
      </w:pPr>
    </w:p>
    <w:p w:rsidR="00775180" w:rsidRPr="00FD1C05" w:rsidRDefault="00775180" w:rsidP="00775180">
      <w:pPr>
        <w:pStyle w:val="a4"/>
        <w:ind w:firstLine="705"/>
        <w:rPr>
          <w:color w:val="000000"/>
        </w:rPr>
      </w:pPr>
      <w:r w:rsidRPr="00FD1C05">
        <w:rPr>
          <w:color w:val="000000"/>
        </w:rPr>
        <w:lastRenderedPageBreak/>
        <w:t xml:space="preserve"> За четвертый квартал 2013 года поступило 660 обращений, в  том числе письменных -358, по сравнению с аналогичным периодом 2012 года - всего 621 обращений, в том числе письменных 373 . Количество обращений увеличилось на 6,2%. В целом за 2013год поступило на имя главы муниципального образования 2561обращение, в том числе письмен</w:t>
      </w:r>
      <w:r>
        <w:rPr>
          <w:color w:val="000000"/>
        </w:rPr>
        <w:t xml:space="preserve">ных 1533. По сравнению с </w:t>
      </w:r>
      <w:r w:rsidRPr="00FD1C05">
        <w:rPr>
          <w:color w:val="000000"/>
        </w:rPr>
        <w:t>2012годом количество письменных обращений сократилось на17.8%.</w:t>
      </w:r>
    </w:p>
    <w:p w:rsidR="00775180" w:rsidRPr="00F4460E" w:rsidRDefault="00775180" w:rsidP="00775180">
      <w:pPr>
        <w:pStyle w:val="a4"/>
        <w:ind w:firstLine="705"/>
        <w:rPr>
          <w:szCs w:val="28"/>
        </w:rPr>
      </w:pPr>
      <w:r w:rsidRPr="00F4460E">
        <w:rPr>
          <w:color w:val="000000"/>
        </w:rPr>
        <w:t xml:space="preserve"> Максимальное количество обращений  поступило в мае и начале июня, это  вопросы, связанные с перебоями в водоснабжении в районе </w:t>
      </w:r>
    </w:p>
    <w:p w:rsidR="00775180" w:rsidRPr="00F4460E" w:rsidRDefault="00775180" w:rsidP="00775180">
      <w:pPr>
        <w:pStyle w:val="a4"/>
        <w:ind w:firstLine="705"/>
        <w:rPr>
          <w:szCs w:val="28"/>
        </w:rPr>
      </w:pPr>
    </w:p>
    <w:p w:rsidR="00775180" w:rsidRPr="00F4460E" w:rsidRDefault="00775180" w:rsidP="00775180">
      <w:pPr>
        <w:pStyle w:val="a4"/>
        <w:ind w:firstLine="705"/>
        <w:rPr>
          <w:szCs w:val="28"/>
        </w:rPr>
      </w:pPr>
      <w:r w:rsidRPr="00F4460E">
        <w:rPr>
          <w:szCs w:val="28"/>
        </w:rPr>
        <w:t xml:space="preserve">                                                                                                      Диаграмма 2</w:t>
      </w:r>
    </w:p>
    <w:p w:rsidR="00775180" w:rsidRPr="00FD1C05" w:rsidRDefault="00775180" w:rsidP="00775180">
      <w:pPr>
        <w:jc w:val="center"/>
        <w:rPr>
          <w:sz w:val="28"/>
          <w:szCs w:val="28"/>
        </w:rPr>
      </w:pPr>
      <w:r w:rsidRPr="00FD1C05">
        <w:rPr>
          <w:sz w:val="28"/>
          <w:szCs w:val="28"/>
        </w:rPr>
        <w:t xml:space="preserve">Динамика поступления письменных обращений граждан </w:t>
      </w:r>
    </w:p>
    <w:p w:rsidR="00775180" w:rsidRPr="00FD1C05" w:rsidRDefault="00775180" w:rsidP="00775180">
      <w:pPr>
        <w:jc w:val="center"/>
        <w:rPr>
          <w:sz w:val="28"/>
          <w:szCs w:val="28"/>
        </w:rPr>
      </w:pPr>
      <w:r w:rsidRPr="00FD1C05">
        <w:rPr>
          <w:sz w:val="28"/>
          <w:szCs w:val="28"/>
        </w:rPr>
        <w:t xml:space="preserve">в отдел по работе с обращениями граждан администрации </w:t>
      </w:r>
    </w:p>
    <w:p w:rsidR="00775180" w:rsidRPr="00FD1C05" w:rsidRDefault="00775180" w:rsidP="00775180">
      <w:pPr>
        <w:jc w:val="center"/>
        <w:rPr>
          <w:sz w:val="28"/>
          <w:szCs w:val="28"/>
        </w:rPr>
      </w:pPr>
      <w:r w:rsidRPr="00FD1C05">
        <w:rPr>
          <w:sz w:val="28"/>
          <w:szCs w:val="28"/>
        </w:rPr>
        <w:t>муниципального образования Темрюкский район в 2013 году</w:t>
      </w:r>
    </w:p>
    <w:p w:rsidR="00775180" w:rsidRDefault="00775180" w:rsidP="00775180">
      <w:pPr>
        <w:jc w:val="center"/>
      </w:pPr>
      <w:r>
        <w:rPr>
          <w:noProof/>
        </w:rPr>
        <w:drawing>
          <wp:inline distT="0" distB="0" distL="0" distR="0">
            <wp:extent cx="6153150" cy="47148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5180" w:rsidRPr="00F4460E" w:rsidRDefault="00775180" w:rsidP="00775180">
      <w:pPr>
        <w:jc w:val="center"/>
        <w:rPr>
          <w:szCs w:val="28"/>
        </w:rPr>
      </w:pPr>
    </w:p>
    <w:p w:rsidR="00775180" w:rsidRPr="006844DF" w:rsidRDefault="00775180" w:rsidP="00775180">
      <w:pPr>
        <w:jc w:val="both"/>
        <w:rPr>
          <w:sz w:val="28"/>
          <w:szCs w:val="28"/>
        </w:rPr>
      </w:pPr>
      <w:r>
        <w:t xml:space="preserve"> </w:t>
      </w:r>
      <w:r w:rsidRPr="006844DF">
        <w:rPr>
          <w:color w:val="000000"/>
          <w:sz w:val="28"/>
          <w:szCs w:val="28"/>
        </w:rPr>
        <w:t>Из общего количества, поступивших письменных обращений в 2013 году доля многократных, повторных и дублирующих обращений, содержащих один смысл, составила 7.3% в 2012году 16,9</w:t>
      </w:r>
      <w:r>
        <w:rPr>
          <w:color w:val="000000"/>
          <w:sz w:val="28"/>
          <w:szCs w:val="28"/>
        </w:rPr>
        <w:t>%</w:t>
      </w:r>
      <w:r w:rsidRPr="006844DF">
        <w:rPr>
          <w:color w:val="000000"/>
          <w:sz w:val="28"/>
          <w:szCs w:val="28"/>
        </w:rPr>
        <w:t>.</w:t>
      </w:r>
    </w:p>
    <w:p w:rsidR="00775180" w:rsidRPr="00150F38" w:rsidRDefault="00775180" w:rsidP="00775180">
      <w:pPr>
        <w:pStyle w:val="a4"/>
        <w:ind w:firstLine="705"/>
        <w:rPr>
          <w:color w:val="000000"/>
          <w:szCs w:val="28"/>
        </w:rPr>
      </w:pPr>
      <w:r w:rsidRPr="00150F38">
        <w:rPr>
          <w:color w:val="000000"/>
          <w:szCs w:val="28"/>
        </w:rPr>
        <w:t xml:space="preserve">90 обращений поступило через виртуальную приемную.  </w:t>
      </w:r>
    </w:p>
    <w:p w:rsidR="00775180" w:rsidRPr="00150F38" w:rsidRDefault="00775180" w:rsidP="00775180">
      <w:pPr>
        <w:pStyle w:val="a4"/>
        <w:ind w:firstLine="705"/>
        <w:rPr>
          <w:color w:val="000000"/>
        </w:rPr>
      </w:pPr>
      <w:r w:rsidRPr="00150F38">
        <w:rPr>
          <w:color w:val="000000"/>
        </w:rPr>
        <w:t>Количество коллективных писем в 2013 году составило -108 (7,1%), в 2012 году 160(8,6%).</w:t>
      </w:r>
    </w:p>
    <w:p w:rsidR="00775180" w:rsidRPr="00150F38" w:rsidRDefault="00775180" w:rsidP="00775180">
      <w:pPr>
        <w:pStyle w:val="a4"/>
        <w:ind w:firstLine="705"/>
        <w:rPr>
          <w:color w:val="000000"/>
        </w:rPr>
      </w:pPr>
      <w:r w:rsidRPr="00150F38">
        <w:rPr>
          <w:color w:val="000000"/>
        </w:rPr>
        <w:lastRenderedPageBreak/>
        <w:t>В Администрацию Президента Российской Федерации поступило 165 обращений(10,7%), в 2012 году</w:t>
      </w:r>
      <w:r w:rsidRPr="005627A2">
        <w:rPr>
          <w:color w:val="FF0000"/>
        </w:rPr>
        <w:t xml:space="preserve"> </w:t>
      </w:r>
      <w:r w:rsidRPr="00150F38">
        <w:rPr>
          <w:color w:val="000000"/>
        </w:rPr>
        <w:t>–186 обращений (10%).</w:t>
      </w:r>
    </w:p>
    <w:p w:rsidR="00775180" w:rsidRPr="00150F38" w:rsidRDefault="00775180" w:rsidP="00775180">
      <w:pPr>
        <w:jc w:val="both"/>
        <w:rPr>
          <w:color w:val="000000"/>
          <w:sz w:val="28"/>
          <w:szCs w:val="28"/>
        </w:rPr>
      </w:pPr>
      <w:r w:rsidRPr="00150F38">
        <w:rPr>
          <w:color w:val="000000"/>
          <w:sz w:val="28"/>
          <w:szCs w:val="28"/>
        </w:rPr>
        <w:tab/>
        <w:t xml:space="preserve">Количество обращений, направленных гражданами в федеральные и краевые структуры в 2013 году аналогично 2012 году(869 и 870соответственно). </w:t>
      </w:r>
      <w:r w:rsidRPr="00150F38">
        <w:rPr>
          <w:color w:val="000000"/>
          <w:sz w:val="28"/>
          <w:szCs w:val="28"/>
        </w:rPr>
        <w:tab/>
        <w:t xml:space="preserve"> Обратились непосредственно к главе муниципального образования 418 (27,2%) заявителей, 869 (56,6%) автора направили письма губернатору края. Направлены письма  депутатам ЗСК 15, в редакции газет</w:t>
      </w:r>
      <w:r w:rsidRPr="005627A2">
        <w:rPr>
          <w:color w:val="FF0000"/>
          <w:sz w:val="28"/>
          <w:szCs w:val="28"/>
        </w:rPr>
        <w:t xml:space="preserve"> </w:t>
      </w:r>
      <w:r w:rsidRPr="00150F38">
        <w:rPr>
          <w:color w:val="000000"/>
          <w:sz w:val="28"/>
          <w:szCs w:val="28"/>
        </w:rPr>
        <w:t xml:space="preserve">2, в Темрюкскую межрайонную прокуратуру 14.   </w:t>
      </w:r>
    </w:p>
    <w:p w:rsidR="00775180" w:rsidRDefault="00775180" w:rsidP="007751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1AE">
        <w:rPr>
          <w:sz w:val="28"/>
          <w:szCs w:val="28"/>
        </w:rPr>
        <w:t xml:space="preserve">На личном приеме за анализируемый период  главой муниципального образования Темрюкский район принято110 человек.  </w:t>
      </w:r>
    </w:p>
    <w:p w:rsidR="00775180" w:rsidRPr="00F7359B" w:rsidRDefault="00775180" w:rsidP="007751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359B">
        <w:rPr>
          <w:color w:val="000000"/>
          <w:sz w:val="28"/>
          <w:szCs w:val="28"/>
        </w:rPr>
        <w:t>Для решения</w:t>
      </w:r>
      <w:r w:rsidRPr="00F7359B">
        <w:rPr>
          <w:color w:val="000000"/>
          <w:spacing w:val="-2"/>
          <w:sz w:val="28"/>
          <w:szCs w:val="28"/>
        </w:rPr>
        <w:t xml:space="preserve"> вопросов, которые поднимаются жителями района в своих обращениях</w:t>
      </w:r>
      <w:proofErr w:type="gramStart"/>
      <w:r w:rsidRPr="00F7359B">
        <w:rPr>
          <w:color w:val="000000"/>
          <w:spacing w:val="-2"/>
          <w:sz w:val="28"/>
          <w:szCs w:val="28"/>
        </w:rPr>
        <w:t xml:space="preserve"> ,</w:t>
      </w:r>
      <w:proofErr w:type="gramEnd"/>
      <w:r w:rsidRPr="00F7359B">
        <w:rPr>
          <w:sz w:val="28"/>
          <w:szCs w:val="28"/>
        </w:rPr>
        <w:t xml:space="preserve"> </w:t>
      </w:r>
      <w:r w:rsidRPr="00F7359B">
        <w:rPr>
          <w:color w:val="000000"/>
          <w:sz w:val="28"/>
          <w:szCs w:val="28"/>
        </w:rPr>
        <w:t>в администрации муниципального образования Темрюкский район разработан и утвержден всеми краевыми министерствами программный документ «Дорожная карта», направленный на системное социально – экономическое развитие и финансирование района на ближайшие годы.</w:t>
      </w:r>
      <w:r w:rsidRPr="00F7359B">
        <w:rPr>
          <w:color w:val="000000"/>
          <w:spacing w:val="-2"/>
          <w:sz w:val="28"/>
          <w:szCs w:val="28"/>
        </w:rPr>
        <w:t xml:space="preserve"> Документ затрагивает все сферы жизнедеятельности района, в том числе развитие транспортной инфраструктуры, решение социальных проблем, модернизацию объектов ЖКХ и др. </w:t>
      </w:r>
    </w:p>
    <w:p w:rsidR="00775180" w:rsidRDefault="00775180" w:rsidP="007751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C6B27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</w:t>
      </w:r>
      <w:r w:rsidRPr="00CC6B27">
        <w:rPr>
          <w:sz w:val="28"/>
          <w:szCs w:val="28"/>
        </w:rPr>
        <w:t xml:space="preserve">многочисленных и актуальных остаются вопросы жилищно-коммунальные сферы </w:t>
      </w:r>
      <w:r>
        <w:rPr>
          <w:sz w:val="28"/>
          <w:szCs w:val="28"/>
        </w:rPr>
        <w:t>-</w:t>
      </w:r>
      <w:r w:rsidRPr="00CC6B27">
        <w:rPr>
          <w:sz w:val="28"/>
          <w:szCs w:val="28"/>
        </w:rPr>
        <w:t xml:space="preserve">774 обращения 50,5% от общего количества. Тематика в целом не изменилась это благоустройство населенных пунктов и придомовых территорий, неудовлетворительная работа управляющих компаний, служб </w:t>
      </w:r>
      <w:proofErr w:type="spellStart"/>
      <w:r w:rsidRPr="00CC6B27">
        <w:rPr>
          <w:sz w:val="28"/>
          <w:szCs w:val="28"/>
        </w:rPr>
        <w:t>жилищно</w:t>
      </w:r>
      <w:proofErr w:type="spellEnd"/>
      <w:r w:rsidRPr="00CC6B27">
        <w:rPr>
          <w:sz w:val="28"/>
          <w:szCs w:val="28"/>
        </w:rPr>
        <w:t xml:space="preserve"> - коммунального хозяйства, увеличение тарифов, проведения капитального ремонта многоквартирных домов, восстановление водоснабжения и электроснабжения, газификации улиц и частных домовладений. </w:t>
      </w:r>
    </w:p>
    <w:p w:rsidR="00775180" w:rsidRDefault="00775180" w:rsidP="00775180">
      <w:pPr>
        <w:tabs>
          <w:tab w:val="left" w:pos="709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C05">
        <w:rPr>
          <w:color w:val="000000"/>
          <w:sz w:val="28"/>
          <w:szCs w:val="28"/>
        </w:rPr>
        <w:t>Наиболее актуальными в районе являются вопросы водоснабжения. Водопроводные сети, эксплуатируемые филиалом «Таманский групповой водо</w:t>
      </w:r>
      <w:r>
        <w:rPr>
          <w:color w:val="000000"/>
          <w:sz w:val="28"/>
          <w:szCs w:val="28"/>
        </w:rPr>
        <w:t>провод ООО «</w:t>
      </w:r>
      <w:proofErr w:type="spellStart"/>
      <w:r w:rsidRPr="00FD1C05">
        <w:rPr>
          <w:color w:val="000000"/>
          <w:sz w:val="28"/>
          <w:szCs w:val="28"/>
        </w:rPr>
        <w:t>Югводоканал</w:t>
      </w:r>
      <w:proofErr w:type="spellEnd"/>
      <w:r w:rsidRPr="00FD1C05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FD1C05">
        <w:rPr>
          <w:color w:val="000000"/>
          <w:sz w:val="28"/>
          <w:szCs w:val="28"/>
        </w:rPr>
        <w:t xml:space="preserve">из-за длительной эксплуатации имеют большой износ. </w:t>
      </w:r>
      <w:r w:rsidRPr="00F4460E">
        <w:rPr>
          <w:sz w:val="28"/>
          <w:szCs w:val="28"/>
        </w:rPr>
        <w:t>Для повышения надежности водоснабжения на территории района продолжается работа по реконструкции магистральных водопроводов в рамках реализации долгосрочной краевой целевой программы «Развитие водоснабжения населенных пунктов Краснодарского края на 2012-2020 годы</w:t>
      </w:r>
      <w:r>
        <w:rPr>
          <w:sz w:val="28"/>
          <w:szCs w:val="28"/>
        </w:rPr>
        <w:t xml:space="preserve">. </w:t>
      </w:r>
      <w:r w:rsidRPr="00FD1C05">
        <w:rPr>
          <w:color w:val="000000"/>
          <w:sz w:val="28"/>
          <w:szCs w:val="28"/>
        </w:rPr>
        <w:t>На эти цели выделено четыреста миллионов рублей из краевого и двадцать два миллиона из районного бюджетов</w:t>
      </w:r>
      <w:r>
        <w:rPr>
          <w:sz w:val="28"/>
          <w:szCs w:val="28"/>
        </w:rPr>
        <w:t xml:space="preserve"> </w:t>
      </w:r>
    </w:p>
    <w:p w:rsidR="00775180" w:rsidRDefault="00775180" w:rsidP="00775180">
      <w:pPr>
        <w:pStyle w:val="a7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решения вопросов по улучшению жилищных условий различных категорий граждан (306 обращений-20%) в 2013 году предоставлены социальные выплаты 5 ветеранам ВОВ, 5 семей, состоящих на учете в качестве нуждающихся по категории «Вынужденные переселенцы», получили жилищные сертификаты, построены и предоставлены 100 квартир для детей-сирот. В рамках реализации ФЦП «Социальное развитие села до 2013 года» получили социальные выплаты 6 семей. </w:t>
      </w:r>
    </w:p>
    <w:p w:rsidR="00775180" w:rsidRPr="00957E81" w:rsidRDefault="00775180" w:rsidP="00775180">
      <w:pPr>
        <w:tabs>
          <w:tab w:val="left" w:pos="709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4014CA">
        <w:rPr>
          <w:sz w:val="28"/>
          <w:szCs w:val="28"/>
        </w:rPr>
        <w:t xml:space="preserve"> </w:t>
      </w:r>
      <w:r w:rsidRPr="007A49B0">
        <w:rPr>
          <w:sz w:val="28"/>
          <w:szCs w:val="28"/>
        </w:rPr>
        <w:t>Работу общественного транспорта обсудили на общественном совете при главе района. «Транспортный вопрос» неоднократно поднимался в обращениях жителей района.</w:t>
      </w:r>
      <w:r w:rsidRPr="001D60C1">
        <w:rPr>
          <w:sz w:val="28"/>
          <w:szCs w:val="28"/>
        </w:rPr>
        <w:t xml:space="preserve"> </w:t>
      </w:r>
      <w:r>
        <w:rPr>
          <w:sz w:val="28"/>
          <w:szCs w:val="28"/>
        </w:rPr>
        <w:t>(115 обращений -7,5%).</w:t>
      </w:r>
      <w:r w:rsidRPr="007A49B0">
        <w:rPr>
          <w:sz w:val="28"/>
          <w:szCs w:val="28"/>
        </w:rPr>
        <w:t xml:space="preserve"> На заседании </w:t>
      </w:r>
      <w:r w:rsidRPr="007A49B0">
        <w:rPr>
          <w:sz w:val="28"/>
          <w:szCs w:val="28"/>
        </w:rPr>
        <w:lastRenderedPageBreak/>
        <w:t>говорилось о работе светофоров в городе, о постоянной перегруженности с</w:t>
      </w:r>
      <w:r>
        <w:rPr>
          <w:sz w:val="28"/>
          <w:szCs w:val="28"/>
        </w:rPr>
        <w:t>тоянки на автостанции, недостаточном количестве</w:t>
      </w:r>
      <w:r w:rsidRPr="007A49B0">
        <w:rPr>
          <w:sz w:val="28"/>
          <w:szCs w:val="28"/>
        </w:rPr>
        <w:t xml:space="preserve"> парковочных мест, о льготном проезде,</w:t>
      </w:r>
      <w:r>
        <w:rPr>
          <w:sz w:val="28"/>
          <w:szCs w:val="28"/>
        </w:rPr>
        <w:t xml:space="preserve"> о работе маршрутных такси. Все</w:t>
      </w:r>
      <w:r w:rsidRPr="007A49B0">
        <w:rPr>
          <w:sz w:val="28"/>
          <w:szCs w:val="28"/>
        </w:rPr>
        <w:t xml:space="preserve"> вопросы были зафиксированы в протоколе и переданы в работу отдела транспорта и связи администрации района. Глава района поддержал инициативу возобновить работу общест</w:t>
      </w:r>
      <w:r>
        <w:rPr>
          <w:sz w:val="28"/>
          <w:szCs w:val="28"/>
        </w:rPr>
        <w:t xml:space="preserve">венных советов в </w:t>
      </w:r>
      <w:proofErr w:type="spellStart"/>
      <w:r>
        <w:rPr>
          <w:sz w:val="28"/>
          <w:szCs w:val="28"/>
        </w:rPr>
        <w:t>поселениях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 w:rsidRPr="007A49B0">
        <w:rPr>
          <w:sz w:val="28"/>
          <w:szCs w:val="28"/>
        </w:rPr>
        <w:t xml:space="preserve"> позволит решать многие вопросы на местах. </w:t>
      </w:r>
      <w:r>
        <w:rPr>
          <w:sz w:val="28"/>
          <w:szCs w:val="28"/>
        </w:rPr>
        <w:t xml:space="preserve"> </w:t>
      </w:r>
    </w:p>
    <w:p w:rsidR="00775180" w:rsidRPr="007A49B0" w:rsidRDefault="00775180" w:rsidP="007751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A49B0">
        <w:rPr>
          <w:sz w:val="28"/>
          <w:szCs w:val="28"/>
        </w:rPr>
        <w:t>В связи с участившимися обращениями граждан по вопросу неза</w:t>
      </w:r>
      <w:r>
        <w:rPr>
          <w:sz w:val="28"/>
          <w:szCs w:val="28"/>
        </w:rPr>
        <w:t xml:space="preserve">конной работы такси, </w:t>
      </w:r>
      <w:r w:rsidRPr="007A49B0">
        <w:rPr>
          <w:sz w:val="28"/>
          <w:szCs w:val="28"/>
        </w:rPr>
        <w:t>на заседании комиссии по обеспечению безопасности дорожного движения муниципального образования Темрюкский район</w:t>
      </w:r>
      <w:r>
        <w:rPr>
          <w:sz w:val="28"/>
          <w:szCs w:val="28"/>
        </w:rPr>
        <w:t>,</w:t>
      </w:r>
      <w:r w:rsidRPr="007A49B0">
        <w:rPr>
          <w:sz w:val="28"/>
          <w:szCs w:val="28"/>
        </w:rPr>
        <w:t xml:space="preserve"> был </w:t>
      </w:r>
      <w:r>
        <w:rPr>
          <w:sz w:val="28"/>
          <w:szCs w:val="28"/>
        </w:rPr>
        <w:t>утвержден план работы совместно</w:t>
      </w:r>
      <w:r w:rsidRPr="007A49B0">
        <w:rPr>
          <w:sz w:val="28"/>
          <w:szCs w:val="28"/>
        </w:rPr>
        <w:t xml:space="preserve"> с сотрудниками Отдела МВД России по Темрюкскому району, ИФНС России по Темрюкскому району Краснодарского края, УГАДН по Краснодарскому краю и Республике Адыгея и администрацией муниципального образования Темрюкский район рейдовых мероприятий по выявлению</w:t>
      </w:r>
      <w:proofErr w:type="gramEnd"/>
      <w:r w:rsidRPr="007A49B0">
        <w:rPr>
          <w:sz w:val="28"/>
          <w:szCs w:val="28"/>
        </w:rPr>
        <w:t xml:space="preserve"> и пресечению незаконной деятельности в сфере пассажирских перевозок в 2013 году.</w:t>
      </w:r>
    </w:p>
    <w:p w:rsidR="00775180" w:rsidRDefault="00775180" w:rsidP="00775180">
      <w:pPr>
        <w:ind w:firstLine="851"/>
        <w:jc w:val="both"/>
        <w:rPr>
          <w:sz w:val="28"/>
          <w:szCs w:val="28"/>
        </w:rPr>
      </w:pPr>
      <w:proofErr w:type="gramStart"/>
      <w:r w:rsidRPr="007A49B0">
        <w:rPr>
          <w:sz w:val="28"/>
          <w:szCs w:val="28"/>
        </w:rPr>
        <w:t>Кроме того с целью полного удовлетворения потребности населения в повышении качества пассажирских перевозок отдел транспорта и связи проводит еженедельный мониторинг за пассажирскими перевозками по муниципальным пригородным маршрутам регулярного сообщения на территории муниципального образования Темрюкского района, также проводятся встречи с населением, с целью разрешения спорных вопросов, возникающих при пользовании услугами пассажирских перевозок</w:t>
      </w:r>
      <w:proofErr w:type="gramEnd"/>
    </w:p>
    <w:p w:rsidR="00775180" w:rsidRDefault="00775180" w:rsidP="007751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Коллективное обращение жителей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ст-цы</w:t>
      </w:r>
      <w:proofErr w:type="spellEnd"/>
      <w:r>
        <w:rPr>
          <w:sz w:val="28"/>
          <w:szCs w:val="28"/>
        </w:rPr>
        <w:t xml:space="preserve"> Старотитаровской по вопросу изменений в расписание движения автобусного маршрута решено. По поручению главы района внесены изменения в расписание движения автобусного маршрута регулярного пригородного и междугороднего сообщения муниципального образования Темрюкский район № 102 «Темрюк-Старотитаровская» и № 236 «Темрюк-Тамань» с общим количеством рейсов 12 в день.</w:t>
      </w:r>
    </w:p>
    <w:p w:rsidR="00775180" w:rsidRDefault="00775180" w:rsidP="007751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просьбы жителей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аманский</w:t>
      </w:r>
      <w:proofErr w:type="spellEnd"/>
      <w:r>
        <w:rPr>
          <w:sz w:val="28"/>
          <w:szCs w:val="28"/>
        </w:rPr>
        <w:t xml:space="preserve"> по вопросу несанкционированной автостоянки большегрузного транспорта усилен контроль за соблюдением участниками движения установленного скоростного режима на автодорогах в границах населенных пунктов, а также соблюдением участниками дорожного движения габаритно-весовых параметров транспортных средств при осуществлении перевозки грузов и недопущению несанкционированного отстоя большегрузного транспорта, осуществляющего перевозку зерна, как в населенных пунктах, так и по пути следования. В морской порт Тамань. На въезде 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амань</w:t>
      </w:r>
      <w:proofErr w:type="spellEnd"/>
      <w:r>
        <w:rPr>
          <w:sz w:val="28"/>
          <w:szCs w:val="28"/>
        </w:rPr>
        <w:t xml:space="preserve"> установлен дополнительный дорожный знак, запрещающий движение большегрузного транспорта.</w:t>
      </w:r>
    </w:p>
    <w:p w:rsidR="00775180" w:rsidRDefault="00775180" w:rsidP="00775180">
      <w:pPr>
        <w:ind w:firstLine="851"/>
        <w:jc w:val="both"/>
        <w:rPr>
          <w:sz w:val="28"/>
          <w:szCs w:val="28"/>
        </w:rPr>
      </w:pPr>
      <w:r w:rsidRPr="00D174F3">
        <w:rPr>
          <w:sz w:val="28"/>
          <w:szCs w:val="28"/>
        </w:rPr>
        <w:t>В летнее время традиционно возрастает количество обращений по вопросу взимания платы за проезд к морю и местам отдыха</w:t>
      </w:r>
      <w:r>
        <w:rPr>
          <w:sz w:val="28"/>
          <w:szCs w:val="28"/>
        </w:rPr>
        <w:t>, неудовлетворительное санитарное состояние пляжных территорий (79 обращений- 5,2)</w:t>
      </w:r>
      <w:r w:rsidRPr="00D174F3">
        <w:rPr>
          <w:sz w:val="28"/>
          <w:szCs w:val="28"/>
        </w:rPr>
        <w:t>.</w:t>
      </w:r>
    </w:p>
    <w:p w:rsidR="00775180" w:rsidRPr="00681B19" w:rsidRDefault="00775180" w:rsidP="00775180">
      <w:pPr>
        <w:ind w:firstLine="851"/>
        <w:jc w:val="both"/>
        <w:rPr>
          <w:sz w:val="28"/>
          <w:szCs w:val="28"/>
        </w:rPr>
      </w:pPr>
      <w:r w:rsidRPr="00D174F3">
        <w:rPr>
          <w:sz w:val="28"/>
          <w:szCs w:val="28"/>
        </w:rPr>
        <w:lastRenderedPageBreak/>
        <w:t xml:space="preserve"> </w:t>
      </w:r>
      <w:r w:rsidRPr="00D174F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течение</w:t>
      </w:r>
      <w:r w:rsidRPr="00D174F3">
        <w:rPr>
          <w:color w:val="000000"/>
          <w:sz w:val="28"/>
          <w:szCs w:val="28"/>
        </w:rPr>
        <w:t xml:space="preserve"> курортного сезона 2013 года осуществлял</w:t>
      </w:r>
      <w:r>
        <w:rPr>
          <w:color w:val="000000"/>
          <w:sz w:val="28"/>
          <w:szCs w:val="28"/>
        </w:rPr>
        <w:t>ась незаконная</w:t>
      </w:r>
      <w:r w:rsidRPr="00D174F3">
        <w:rPr>
          <w:color w:val="000000"/>
          <w:sz w:val="28"/>
          <w:szCs w:val="28"/>
        </w:rPr>
        <w:t xml:space="preserve"> предприниматель</w:t>
      </w:r>
      <w:r>
        <w:rPr>
          <w:color w:val="000000"/>
          <w:sz w:val="28"/>
          <w:szCs w:val="28"/>
        </w:rPr>
        <w:t>ская</w:t>
      </w:r>
      <w:r w:rsidRPr="00D174F3">
        <w:rPr>
          <w:color w:val="000000"/>
          <w:sz w:val="28"/>
          <w:szCs w:val="28"/>
        </w:rPr>
        <w:t xml:space="preserve"> деятельность (взимание денежных средств с автотранспорта</w:t>
      </w:r>
      <w:r>
        <w:rPr>
          <w:color w:val="000000"/>
          <w:sz w:val="28"/>
          <w:szCs w:val="28"/>
        </w:rPr>
        <w:t xml:space="preserve"> и эксплуатация пляжной территории</w:t>
      </w:r>
      <w:r w:rsidRPr="00D174F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D174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</w:t>
      </w:r>
      <w:r w:rsidRPr="00D174F3">
        <w:rPr>
          <w:color w:val="000000"/>
          <w:sz w:val="28"/>
          <w:szCs w:val="28"/>
        </w:rPr>
        <w:t>емельный учас</w:t>
      </w:r>
      <w:r>
        <w:rPr>
          <w:color w:val="000000"/>
          <w:sz w:val="28"/>
          <w:szCs w:val="28"/>
        </w:rPr>
        <w:t xml:space="preserve">ток не был оформлен в собственность или аренду. </w:t>
      </w:r>
    </w:p>
    <w:p w:rsidR="00775180" w:rsidRPr="00D23461" w:rsidRDefault="00775180" w:rsidP="00775180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74F3">
        <w:rPr>
          <w:rFonts w:ascii="Times New Roman" w:hAnsi="Times New Roman"/>
          <w:color w:val="000000"/>
          <w:sz w:val="28"/>
          <w:szCs w:val="28"/>
          <w:lang w:val="ru-RU"/>
        </w:rPr>
        <w:t>По данным фактам сотрудниками ОМВД России по Темрюкскому району были проведены мероприятия по выявлению незаконной предприниматель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ской деятельности</w:t>
      </w:r>
      <w:r w:rsidRPr="00D174F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местах массового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отдыха и вынесены определения. В</w:t>
      </w:r>
      <w:r w:rsidRPr="00D174F3">
        <w:rPr>
          <w:rFonts w:ascii="Times New Roman" w:hAnsi="Times New Roman"/>
          <w:color w:val="000000"/>
          <w:sz w:val="28"/>
          <w:szCs w:val="28"/>
          <w:lang w:val="ru-RU"/>
        </w:rPr>
        <w:t>озбужде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 дело</w:t>
      </w:r>
      <w:r w:rsidRPr="00D174F3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административном правонарушении и назначено административное расследование.</w:t>
      </w:r>
      <w:r w:rsidRPr="00D23461">
        <w:rPr>
          <w:rFonts w:ascii="Times New Roman" w:hAnsi="Times New Roman"/>
          <w:sz w:val="28"/>
          <w:szCs w:val="28"/>
          <w:lang w:val="ru-RU"/>
        </w:rPr>
        <w:t xml:space="preserve"> В адрес ОМВД России по Темрюкскому району была направлена информация для принятия мер реагирования в рамках действующего законодательства.</w:t>
      </w:r>
    </w:p>
    <w:p w:rsidR="00775180" w:rsidRPr="006D5B0E" w:rsidRDefault="00775180" w:rsidP="007751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5FCF">
        <w:rPr>
          <w:sz w:val="28"/>
          <w:szCs w:val="28"/>
        </w:rPr>
        <w:t>ри проведении мониторинга пляжных территорий специалистами управления по санаторно-курортному комплексу, туризму, торговле и потребительскому рынку было выявлено неудовлетворительное санитарное состояние пляжа «</w:t>
      </w:r>
      <w:proofErr w:type="spellStart"/>
      <w:r w:rsidRPr="004A5FCF">
        <w:rPr>
          <w:sz w:val="28"/>
          <w:szCs w:val="28"/>
        </w:rPr>
        <w:t>Подмаячный</w:t>
      </w:r>
      <w:proofErr w:type="spellEnd"/>
      <w:r w:rsidRPr="004A5FCF">
        <w:rPr>
          <w:sz w:val="28"/>
          <w:szCs w:val="28"/>
        </w:rPr>
        <w:t xml:space="preserve">». </w:t>
      </w:r>
      <w:r w:rsidRPr="006D5B0E">
        <w:rPr>
          <w:sz w:val="28"/>
          <w:szCs w:val="28"/>
        </w:rPr>
        <w:t xml:space="preserve">В адрес администрации </w:t>
      </w:r>
      <w:proofErr w:type="spellStart"/>
      <w:r w:rsidRPr="006D5B0E">
        <w:rPr>
          <w:sz w:val="28"/>
          <w:szCs w:val="28"/>
        </w:rPr>
        <w:t>Ахтанизовского</w:t>
      </w:r>
      <w:proofErr w:type="spellEnd"/>
      <w:r w:rsidRPr="006D5B0E">
        <w:rPr>
          <w:sz w:val="28"/>
          <w:szCs w:val="28"/>
        </w:rPr>
        <w:t xml:space="preserve"> сельского поселения, департамента Федеральной службы по надзору в сфере природопользования по ЮФО, министерство природных ресурсов Краснодарск</w:t>
      </w:r>
      <w:r>
        <w:rPr>
          <w:sz w:val="28"/>
          <w:szCs w:val="28"/>
        </w:rPr>
        <w:t xml:space="preserve">ого края, </w:t>
      </w:r>
      <w:r w:rsidRPr="006D5B0E">
        <w:rPr>
          <w:sz w:val="28"/>
          <w:szCs w:val="28"/>
        </w:rPr>
        <w:t>Азово-Черноморской межрайонной природоохранной про</w:t>
      </w:r>
      <w:r>
        <w:rPr>
          <w:sz w:val="28"/>
          <w:szCs w:val="28"/>
        </w:rPr>
        <w:t xml:space="preserve">куратуры, </w:t>
      </w:r>
      <w:r w:rsidRPr="006D5B0E">
        <w:rPr>
          <w:sz w:val="28"/>
          <w:szCs w:val="28"/>
        </w:rPr>
        <w:t>была направлена информация о сложившейся ситуации на пляже «</w:t>
      </w:r>
      <w:proofErr w:type="spellStart"/>
      <w:r w:rsidRPr="006D5B0E">
        <w:rPr>
          <w:sz w:val="28"/>
          <w:szCs w:val="28"/>
        </w:rPr>
        <w:t>Подмаячный</w:t>
      </w:r>
      <w:proofErr w:type="spellEnd"/>
      <w:r w:rsidRPr="006D5B0E">
        <w:rPr>
          <w:sz w:val="28"/>
          <w:szCs w:val="28"/>
        </w:rPr>
        <w:t>» для принятия мер в рамках действующего законодательства. Всеми службами проведены проверки и выявлены нарушения требований санитарно-эпидемиологического и природоохранного законодательства Российской Федерации</w:t>
      </w:r>
      <w:r>
        <w:rPr>
          <w:sz w:val="28"/>
          <w:szCs w:val="28"/>
        </w:rPr>
        <w:t>.</w:t>
      </w:r>
      <w:r w:rsidRPr="006D5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75180" w:rsidRDefault="00775180" w:rsidP="0077518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5B0E">
        <w:rPr>
          <w:rFonts w:ascii="Times New Roman" w:hAnsi="Times New Roman"/>
          <w:sz w:val="28"/>
          <w:szCs w:val="28"/>
          <w:lang w:val="ru-RU" w:eastAsia="ru-RU"/>
        </w:rPr>
        <w:t xml:space="preserve">Прокуратурой Темрюкского района в отношении главы муниципального образования </w:t>
      </w:r>
      <w:proofErr w:type="spellStart"/>
      <w:r w:rsidRPr="006D5B0E">
        <w:rPr>
          <w:rFonts w:ascii="Times New Roman" w:hAnsi="Times New Roman"/>
          <w:sz w:val="28"/>
          <w:szCs w:val="28"/>
          <w:lang w:val="ru-RU" w:eastAsia="ru-RU"/>
        </w:rPr>
        <w:t>Ахтанизовское</w:t>
      </w:r>
      <w:proofErr w:type="spellEnd"/>
      <w:r w:rsidRPr="006D5B0E">
        <w:rPr>
          <w:rFonts w:ascii="Times New Roman" w:hAnsi="Times New Roman"/>
          <w:sz w:val="28"/>
          <w:szCs w:val="28"/>
          <w:lang w:val="ru-RU" w:eastAsia="ru-RU"/>
        </w:rPr>
        <w:t xml:space="preserve"> сельское поселение 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емрюкского района </w:t>
      </w:r>
      <w:r w:rsidRPr="006D5B0E">
        <w:rPr>
          <w:rFonts w:ascii="Times New Roman" w:hAnsi="Times New Roman"/>
          <w:sz w:val="28"/>
          <w:szCs w:val="28"/>
          <w:lang w:val="ru-RU" w:eastAsia="ru-RU"/>
        </w:rPr>
        <w:t xml:space="preserve"> возбуждено дело об административном правонарушении, предусмотренное статьей 6.3 КоАП РФ.</w:t>
      </w:r>
    </w:p>
    <w:p w:rsidR="00775180" w:rsidRDefault="00775180" w:rsidP="00775180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5A7189">
        <w:rPr>
          <w:rFonts w:ascii="Times New Roman" w:hAnsi="Times New Roman"/>
          <w:sz w:val="28"/>
          <w:szCs w:val="28"/>
          <w:lang w:val="ru-RU"/>
        </w:rPr>
        <w:t>По вопросам, касаю</w:t>
      </w:r>
      <w:r w:rsidRPr="005A7189">
        <w:rPr>
          <w:rFonts w:ascii="Times New Roman" w:hAnsi="Times New Roman"/>
          <w:spacing w:val="-1"/>
          <w:sz w:val="28"/>
          <w:szCs w:val="28"/>
          <w:lang w:val="ru-RU"/>
        </w:rPr>
        <w:t xml:space="preserve">щимся социальной направленности </w:t>
      </w:r>
      <w:r w:rsidRPr="005A7189">
        <w:rPr>
          <w:rFonts w:ascii="Times New Roman" w:hAnsi="Times New Roman"/>
          <w:sz w:val="28"/>
          <w:szCs w:val="28"/>
          <w:lang w:val="ru-RU"/>
        </w:rPr>
        <w:t>поступило 232 (15,1%) обращения,</w:t>
      </w:r>
      <w:r>
        <w:rPr>
          <w:rFonts w:ascii="Times New Roman" w:hAnsi="Times New Roman"/>
          <w:sz w:val="28"/>
          <w:szCs w:val="28"/>
          <w:lang w:val="ru-RU"/>
        </w:rPr>
        <w:t xml:space="preserve"> в том числе 48</w:t>
      </w:r>
      <w:r w:rsidRPr="005A7189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3,1</w:t>
      </w:r>
      <w:r w:rsidRPr="005A7189">
        <w:rPr>
          <w:rFonts w:ascii="Times New Roman" w:hAnsi="Times New Roman"/>
          <w:sz w:val="28"/>
          <w:szCs w:val="28"/>
          <w:lang w:val="ru-RU"/>
        </w:rPr>
        <w:t>%) по вопросам медицины и 53 (3,5</w:t>
      </w:r>
      <w:r>
        <w:rPr>
          <w:rFonts w:ascii="Times New Roman" w:hAnsi="Times New Roman"/>
          <w:sz w:val="28"/>
          <w:szCs w:val="28"/>
          <w:lang w:val="ru-RU"/>
        </w:rPr>
        <w:t>%)обращения</w:t>
      </w:r>
      <w:r w:rsidRPr="005A7189">
        <w:rPr>
          <w:rFonts w:ascii="Times New Roman" w:hAnsi="Times New Roman"/>
          <w:sz w:val="28"/>
          <w:szCs w:val="28"/>
          <w:lang w:val="ru-RU"/>
        </w:rPr>
        <w:t xml:space="preserve"> по вопросам образования.</w:t>
      </w:r>
      <w:r w:rsidRPr="007D07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75180" w:rsidRDefault="00775180" w:rsidP="0077518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Pr="005A7189">
        <w:rPr>
          <w:rFonts w:ascii="Times New Roman" w:hAnsi="Times New Roman"/>
          <w:sz w:val="28"/>
          <w:szCs w:val="28"/>
          <w:lang w:val="ru-RU"/>
        </w:rPr>
        <w:t>Доминируют вопросы</w:t>
      </w:r>
      <w:r w:rsidRPr="005A718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медицин</w:t>
      </w:r>
      <w:r w:rsidRPr="005A7189">
        <w:rPr>
          <w:rFonts w:ascii="Times New Roman" w:hAnsi="Times New Roman"/>
          <w:color w:val="000000"/>
          <w:sz w:val="28"/>
          <w:szCs w:val="28"/>
          <w:lang w:val="ru-RU"/>
        </w:rPr>
        <w:t>ского обслуживания, оснащения медицинских учреждений района необходи</w:t>
      </w:r>
      <w:r w:rsidRPr="005A718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мым оборудованием, </w:t>
      </w:r>
      <w:r w:rsidRPr="005A7189">
        <w:rPr>
          <w:rFonts w:ascii="Times New Roman" w:hAnsi="Times New Roman"/>
          <w:color w:val="000000"/>
          <w:sz w:val="28"/>
          <w:szCs w:val="28"/>
          <w:lang w:val="ru-RU"/>
        </w:rPr>
        <w:t>нехватки врачей и медицинских работников, порядка освидетельствования, зубопротезирования, качества медицинской помощи,</w:t>
      </w:r>
      <w:r w:rsidRPr="005A718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лекарственного обеспечения, предоставления места в дет</w:t>
      </w:r>
      <w:r w:rsidRPr="005A7189">
        <w:rPr>
          <w:rFonts w:ascii="Times New Roman" w:hAnsi="Times New Roman"/>
          <w:color w:val="000000"/>
          <w:sz w:val="28"/>
          <w:szCs w:val="28"/>
          <w:lang w:val="ru-RU"/>
        </w:rPr>
        <w:t>ском саду, школьных автобусах, мерах социальной поддержки ветера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нам, </w:t>
      </w:r>
      <w:r w:rsidRPr="005A7189">
        <w:rPr>
          <w:rFonts w:ascii="Times New Roman" w:hAnsi="Times New Roman"/>
          <w:sz w:val="28"/>
          <w:szCs w:val="28"/>
          <w:lang w:val="ru-RU"/>
        </w:rPr>
        <w:t>предоставления льгот, обеспечения средствами реабилитации федеральных льготников, установления группы инвалидности, оказания материальной помощи малоимущим слоям населения, перерасчета размера</w:t>
      </w:r>
      <w:r w:rsidRPr="005A7189">
        <w:rPr>
          <w:rFonts w:ascii="Times New Roman" w:hAnsi="Times New Roman"/>
          <w:lang w:val="ru-RU"/>
        </w:rPr>
        <w:t xml:space="preserve"> </w:t>
      </w:r>
      <w:r w:rsidRPr="005A7189">
        <w:rPr>
          <w:rFonts w:ascii="Times New Roman" w:hAnsi="Times New Roman"/>
          <w:sz w:val="28"/>
          <w:szCs w:val="28"/>
          <w:lang w:val="ru-RU"/>
        </w:rPr>
        <w:t>пенсий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  <w:proofErr w:type="gramEnd"/>
    </w:p>
    <w:p w:rsidR="00775180" w:rsidRDefault="00775180" w:rsidP="0077518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5A7189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</w:r>
      <w:r w:rsidRPr="005A7189">
        <w:rPr>
          <w:rFonts w:ascii="Times New Roman" w:hAnsi="Times New Roman"/>
          <w:color w:val="000000"/>
          <w:sz w:val="28"/>
          <w:szCs w:val="28"/>
          <w:lang w:val="ru-RU"/>
        </w:rPr>
        <w:t>С целью снижения обращений по вопросам здравоохранения</w:t>
      </w:r>
      <w:r w:rsidRPr="005A7189">
        <w:rPr>
          <w:rFonts w:ascii="Times New Roman" w:hAnsi="Times New Roman"/>
          <w:sz w:val="28"/>
          <w:szCs w:val="28"/>
          <w:lang w:val="ru-RU"/>
        </w:rPr>
        <w:t>,</w:t>
      </w:r>
      <w:r w:rsidRPr="005A71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A7189">
        <w:rPr>
          <w:rFonts w:ascii="Times New Roman" w:hAnsi="Times New Roman"/>
          <w:sz w:val="28"/>
          <w:szCs w:val="28"/>
          <w:lang w:val="ru-RU"/>
        </w:rPr>
        <w:t>касающихся качества медицинской помощи, организации работы ЛПУ проводились административные проверки в структурных</w:t>
      </w:r>
      <w:r>
        <w:rPr>
          <w:rFonts w:ascii="Times New Roman" w:hAnsi="Times New Roman"/>
          <w:sz w:val="28"/>
          <w:szCs w:val="28"/>
          <w:lang w:val="ru-RU"/>
        </w:rPr>
        <w:t xml:space="preserve"> подразделениях МБУЗ «ЦРБ МО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5A7189">
        <w:rPr>
          <w:rFonts w:ascii="Times New Roman" w:hAnsi="Times New Roman"/>
          <w:sz w:val="28"/>
          <w:szCs w:val="28"/>
          <w:lang w:val="ru-RU"/>
        </w:rPr>
        <w:t xml:space="preserve"> с привлечением специалистов по защите прав застрахованных территориального фонда ОМС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75E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5180" w:rsidRPr="00775E8B" w:rsidRDefault="00775180" w:rsidP="0077518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775E8B">
        <w:rPr>
          <w:rFonts w:ascii="Times New Roman" w:hAnsi="Times New Roman"/>
          <w:sz w:val="28"/>
          <w:szCs w:val="28"/>
          <w:lang w:val="ru-RU"/>
        </w:rPr>
        <w:t xml:space="preserve">Принимая во внимание актуальность вопросов здравоохранения в районе, и значительное количество обращений в администрацию Президента РФ и края, проведен расширенный медицинский совет с участием главы МО </w:t>
      </w:r>
      <w:proofErr w:type="gramStart"/>
      <w:r w:rsidRPr="00775E8B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75E8B">
        <w:rPr>
          <w:rFonts w:ascii="Times New Roman" w:hAnsi="Times New Roman"/>
          <w:sz w:val="28"/>
          <w:szCs w:val="28"/>
          <w:lang w:val="ru-RU"/>
        </w:rPr>
        <w:t xml:space="preserve"> на тему «Качество оказываемой в МБУЗ «ЦРБ МО ТР медицинской помощи населению, соблюдение профессиональной этики и</w:t>
      </w:r>
      <w:r w:rsidRPr="00775E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75E8B">
        <w:rPr>
          <w:rFonts w:ascii="Times New Roman" w:hAnsi="Times New Roman"/>
          <w:sz w:val="28"/>
          <w:szCs w:val="28"/>
          <w:lang w:val="ru-RU"/>
        </w:rPr>
        <w:t xml:space="preserve">деонтологии персоналом больницы на всех уровнях». </w:t>
      </w:r>
    </w:p>
    <w:p w:rsidR="00775180" w:rsidRPr="007355FE" w:rsidRDefault="00775180" w:rsidP="00775180">
      <w:pPr>
        <w:pStyle w:val="s34"/>
        <w:ind w:firstLine="708"/>
        <w:jc w:val="both"/>
        <w:rPr>
          <w:b w:val="0"/>
          <w:color w:val="000000"/>
          <w:sz w:val="28"/>
          <w:szCs w:val="28"/>
        </w:rPr>
      </w:pPr>
      <w:r w:rsidRPr="007355FE">
        <w:rPr>
          <w:b w:val="0"/>
          <w:color w:val="000000"/>
          <w:sz w:val="28"/>
          <w:szCs w:val="28"/>
        </w:rPr>
        <w:t>Обеспечивая контроль по вопросам организации питания в образовательных учреждениях, проверяются соответствие единому меню, качество поставляемой на пищеблоки продукции, нормы закладки и выдачи порций, санитарное состояние пищеблоков. По результатам проверок проводились рабочие совещания с начальником управления образования, главным технологом, отделом закупок</w:t>
      </w:r>
      <w:r>
        <w:rPr>
          <w:b w:val="0"/>
          <w:color w:val="000000"/>
          <w:sz w:val="28"/>
          <w:szCs w:val="28"/>
        </w:rPr>
        <w:t xml:space="preserve"> </w:t>
      </w:r>
    </w:p>
    <w:p w:rsidR="00775180" w:rsidRPr="007355FE" w:rsidRDefault="00775180" w:rsidP="007751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7355FE">
        <w:rPr>
          <w:sz w:val="28"/>
          <w:szCs w:val="28"/>
        </w:rPr>
        <w:t xml:space="preserve"> целях обеспечения информационной доступности в сфере получения услуг в службах социальной сферы и, прежде всего, совершенствования оказания медицинской помощи жителям сельской местности (учитывая кадровый врачебный дефици</w:t>
      </w:r>
      <w:r>
        <w:rPr>
          <w:sz w:val="28"/>
          <w:szCs w:val="28"/>
        </w:rPr>
        <w:t>т, в</w:t>
      </w:r>
      <w:r w:rsidRPr="007355FE">
        <w:rPr>
          <w:sz w:val="28"/>
          <w:szCs w:val="28"/>
        </w:rPr>
        <w:t xml:space="preserve"> третьем и четвертом квартале 2013 года организованы «Социальные десанты» в поселениях Темрюкского района.</w:t>
      </w:r>
      <w:proofErr w:type="gramEnd"/>
      <w:r w:rsidRPr="007355FE">
        <w:rPr>
          <w:sz w:val="28"/>
          <w:szCs w:val="28"/>
        </w:rPr>
        <w:t xml:space="preserve"> Комплексные выезды специалистов государственных и муниципальных учреждений были проведены в соответствии с графиком с 4 октября 2013 года по 13 декабря 2013 года</w:t>
      </w:r>
      <w:r>
        <w:rPr>
          <w:sz w:val="28"/>
          <w:szCs w:val="28"/>
        </w:rPr>
        <w:t>.</w:t>
      </w:r>
      <w:r w:rsidRPr="0073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7355FE">
        <w:rPr>
          <w:sz w:val="28"/>
          <w:szCs w:val="28"/>
        </w:rPr>
        <w:t xml:space="preserve"> рамках «Социальных десантов», ставших традиционными, организован прием врачей узких специальностей (эндокринолог, невролог, ЛОР, окулист и </w:t>
      </w:r>
      <w:r>
        <w:rPr>
          <w:sz w:val="28"/>
          <w:szCs w:val="28"/>
        </w:rPr>
        <w:t>др.</w:t>
      </w:r>
      <w:proofErr w:type="gramEnd"/>
    </w:p>
    <w:p w:rsidR="00775180" w:rsidRPr="007355FE" w:rsidRDefault="00775180" w:rsidP="00775180">
      <w:pPr>
        <w:jc w:val="both"/>
        <w:rPr>
          <w:sz w:val="28"/>
          <w:szCs w:val="28"/>
        </w:rPr>
      </w:pPr>
      <w:r w:rsidRPr="001A59F5">
        <w:rPr>
          <w:sz w:val="28"/>
          <w:szCs w:val="28"/>
        </w:rPr>
        <w:tab/>
      </w:r>
      <w:r w:rsidRPr="007355FE">
        <w:rPr>
          <w:sz w:val="28"/>
          <w:szCs w:val="28"/>
        </w:rPr>
        <w:t>В «Социально</w:t>
      </w:r>
      <w:r>
        <w:rPr>
          <w:sz w:val="28"/>
          <w:szCs w:val="28"/>
        </w:rPr>
        <w:t>м десанте» принимала участие «В</w:t>
      </w:r>
      <w:r w:rsidRPr="007355FE">
        <w:rPr>
          <w:sz w:val="28"/>
          <w:szCs w:val="28"/>
        </w:rPr>
        <w:t xml:space="preserve">ыездная приемная главы» и специалист, обеспечивающий деятельность приемной главы администрации (губернатора) Краснодарского края в муниципальном образовании Темрюкский район. В рамках консультационных выездов жители поселений Темрюкского района смогли получить не только консультацию по вопросам медицины, но и ответы на интересующие вопросы. </w:t>
      </w:r>
    </w:p>
    <w:p w:rsidR="00775180" w:rsidRPr="007D07B3" w:rsidRDefault="00775180" w:rsidP="0077518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D07B3">
        <w:rPr>
          <w:rFonts w:ascii="Times New Roman" w:hAnsi="Times New Roman"/>
          <w:sz w:val="28"/>
          <w:szCs w:val="28"/>
          <w:lang w:val="ru-RU"/>
        </w:rPr>
        <w:tab/>
        <w:t xml:space="preserve">Руководитель филиала № 47 Бюро </w:t>
      </w:r>
      <w:proofErr w:type="gramStart"/>
      <w:r w:rsidRPr="007D07B3">
        <w:rPr>
          <w:rFonts w:ascii="Times New Roman" w:hAnsi="Times New Roman"/>
          <w:sz w:val="28"/>
          <w:szCs w:val="28"/>
          <w:lang w:val="ru-RU"/>
        </w:rPr>
        <w:t>медико-социальной</w:t>
      </w:r>
      <w:proofErr w:type="gramEnd"/>
      <w:r w:rsidRPr="007D07B3">
        <w:rPr>
          <w:rFonts w:ascii="Times New Roman" w:hAnsi="Times New Roman"/>
          <w:sz w:val="28"/>
          <w:szCs w:val="28"/>
          <w:lang w:val="ru-RU"/>
        </w:rPr>
        <w:t xml:space="preserve"> экспертизы в Темрюкском районе предоставляла разъяснения о порядке оформления инвалидности и переосвидетельствования.</w:t>
      </w:r>
    </w:p>
    <w:p w:rsidR="00775180" w:rsidRPr="007D07B3" w:rsidRDefault="00775180" w:rsidP="0077518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D07B3">
        <w:rPr>
          <w:rFonts w:ascii="Times New Roman" w:hAnsi="Times New Roman"/>
          <w:sz w:val="28"/>
          <w:szCs w:val="28"/>
          <w:lang w:val="ru-RU"/>
        </w:rPr>
        <w:tab/>
        <w:t xml:space="preserve">Специалисты Управления Пенсионного фонда Российской Федерации (ГУ) в Темрюкском районе давали разъяснения по пенсионному законодательству, порядке назначения и расчета пенсии, включая разъяснения по вносимым изменениям в пенсионное законодательство, о программе </w:t>
      </w:r>
      <w:proofErr w:type="spellStart"/>
      <w:r w:rsidRPr="007D07B3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7D07B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75180" w:rsidRPr="007D07B3" w:rsidRDefault="00775180" w:rsidP="0077518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D07B3">
        <w:rPr>
          <w:rFonts w:ascii="Times New Roman" w:hAnsi="Times New Roman"/>
          <w:sz w:val="28"/>
          <w:szCs w:val="28"/>
          <w:lang w:val="ru-RU"/>
        </w:rPr>
        <w:tab/>
        <w:t xml:space="preserve">Специалисты государственного учреждения Краснодарского края «Центр занятости населения Темрюкского района» представляли информацию, прежде всего, о возможности трудоустройства на олимпийские объекты г. Сочи, предлагая перечень вакансий и заполнение резюме. Давались консультации об услугах в вопросах трудоустройства, организации собственного дела, о возможности получения материальной поддержки в период временной занятости и обучения. </w:t>
      </w:r>
    </w:p>
    <w:p w:rsidR="00775180" w:rsidRPr="007D07B3" w:rsidRDefault="00775180" w:rsidP="0077518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D07B3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Специалисты управления социальной защиты населения в Темрюкском районе отвечали на  вопросы о компенсационных выплатах, социальных пособиях назначаемых и выплачиваемых УСЗН. </w:t>
      </w:r>
      <w:r w:rsidRPr="007D07B3">
        <w:rPr>
          <w:rFonts w:ascii="Times New Roman" w:hAnsi="Times New Roman"/>
          <w:sz w:val="28"/>
          <w:szCs w:val="28"/>
          <w:lang w:val="ru-RU"/>
        </w:rPr>
        <w:tab/>
        <w:t>Востребованными оказались вопросы о краевом семейном капитале, порядка получения звания «Ветеран труда».</w:t>
      </w:r>
    </w:p>
    <w:p w:rsidR="00775180" w:rsidRPr="007D07B3" w:rsidRDefault="00775180" w:rsidP="0077518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D07B3">
        <w:rPr>
          <w:rFonts w:ascii="Times New Roman" w:hAnsi="Times New Roman"/>
          <w:sz w:val="28"/>
          <w:szCs w:val="28"/>
          <w:lang w:val="ru-RU"/>
        </w:rPr>
        <w:tab/>
        <w:t>Неотъемлемым соратником в проведении «Социального десанта» является Фонд обязательного медицинского страхования. Специалисты по защите прав застрахованных Фонда всегда принимают активное участие в данном мероприятии, проводя (неофициальные) опросы и анкетирование граждан (пациентов), решая, по мере вопросы и давая разъяснения по порядку оказания медицинской помощи в рамках Программы государственных гарантий бесплатного оказания медицинской помощи, о замене полисов ОМС.</w:t>
      </w:r>
    </w:p>
    <w:p w:rsidR="00775180" w:rsidRPr="007D07B3" w:rsidRDefault="00775180" w:rsidP="0077518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D07B3">
        <w:rPr>
          <w:rFonts w:ascii="Times New Roman" w:hAnsi="Times New Roman"/>
          <w:sz w:val="28"/>
          <w:szCs w:val="28"/>
          <w:lang w:val="ru-RU"/>
        </w:rPr>
        <w:tab/>
        <w:t xml:space="preserve">Участие в работе «Десанта» и «Выездной приемной главы» приняли многофункциональный центр, управление по вопросам семьи и детства,  </w:t>
      </w:r>
    </w:p>
    <w:p w:rsidR="00775180" w:rsidRDefault="00775180" w:rsidP="00775180">
      <w:pPr>
        <w:ind w:firstLine="720"/>
        <w:jc w:val="both"/>
        <w:rPr>
          <w:sz w:val="28"/>
          <w:szCs w:val="28"/>
        </w:rPr>
      </w:pPr>
      <w:r w:rsidRPr="007D07B3">
        <w:rPr>
          <w:sz w:val="28"/>
          <w:szCs w:val="28"/>
        </w:rPr>
        <w:t>Всего воспользоваться предлагаемыми на социальном десанте услугами смогли около полутора тысяч жителей Темрюкского района.</w:t>
      </w:r>
    </w:p>
    <w:p w:rsidR="00775180" w:rsidRPr="00EB5F89" w:rsidRDefault="00775180" w:rsidP="00775180">
      <w:pPr>
        <w:ind w:firstLine="720"/>
        <w:jc w:val="both"/>
        <w:rPr>
          <w:sz w:val="28"/>
          <w:szCs w:val="28"/>
        </w:rPr>
      </w:pPr>
      <w:r w:rsidRPr="009563F5">
        <w:rPr>
          <w:sz w:val="28"/>
          <w:szCs w:val="28"/>
        </w:rPr>
        <w:t xml:space="preserve">Оказана помощь </w:t>
      </w:r>
      <w:r>
        <w:rPr>
          <w:sz w:val="28"/>
          <w:szCs w:val="28"/>
        </w:rPr>
        <w:t xml:space="preserve">одинокому </w:t>
      </w:r>
      <w:r w:rsidRPr="009563F5">
        <w:rPr>
          <w:sz w:val="28"/>
          <w:szCs w:val="28"/>
        </w:rPr>
        <w:t>пожилому человеку, который оказался</w:t>
      </w:r>
      <w:r>
        <w:rPr>
          <w:sz w:val="28"/>
          <w:szCs w:val="28"/>
        </w:rPr>
        <w:t xml:space="preserve"> в критическом</w:t>
      </w:r>
      <w:r w:rsidRPr="009563F5">
        <w:rPr>
          <w:sz w:val="28"/>
          <w:szCs w:val="28"/>
        </w:rPr>
        <w:t xml:space="preserve"> состоянии,</w:t>
      </w:r>
      <w:r>
        <w:rPr>
          <w:sz w:val="28"/>
          <w:szCs w:val="28"/>
        </w:rPr>
        <w:t xml:space="preserve"> </w:t>
      </w:r>
      <w:r w:rsidRPr="009563F5">
        <w:rPr>
          <w:sz w:val="28"/>
          <w:szCs w:val="28"/>
        </w:rPr>
        <w:t>ему ампутировали ногу. Из-за потери паспорта и всех документов невозможно было установить личность для оформления группы инвалидности.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 оказано содейст</w:t>
      </w:r>
      <w:r>
        <w:rPr>
          <w:sz w:val="28"/>
          <w:szCs w:val="28"/>
        </w:rPr>
        <w:t>вие в восстановлении документов. С</w:t>
      </w:r>
      <w:r w:rsidRPr="007D07B3">
        <w:rPr>
          <w:sz w:val="28"/>
          <w:szCs w:val="28"/>
        </w:rPr>
        <w:t>пециалисты управления соци</w:t>
      </w:r>
      <w:r>
        <w:rPr>
          <w:sz w:val="28"/>
          <w:szCs w:val="28"/>
        </w:rPr>
        <w:t>альной защиты населения и</w:t>
      </w:r>
      <w:r w:rsidRPr="007D07B3">
        <w:rPr>
          <w:sz w:val="28"/>
          <w:szCs w:val="28"/>
        </w:rPr>
        <w:t xml:space="preserve"> Бюро </w:t>
      </w:r>
      <w:proofErr w:type="gramStart"/>
      <w:r w:rsidRPr="007D07B3">
        <w:rPr>
          <w:sz w:val="28"/>
          <w:szCs w:val="28"/>
        </w:rPr>
        <w:t>медико-социально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экспертизы, а также</w:t>
      </w:r>
      <w:r w:rsidRPr="007D07B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D07B3">
        <w:rPr>
          <w:sz w:val="28"/>
          <w:szCs w:val="28"/>
        </w:rPr>
        <w:t>пециалисты Управления Пенсионного фонда Российской Фе</w:t>
      </w:r>
      <w:r>
        <w:rPr>
          <w:sz w:val="28"/>
          <w:szCs w:val="28"/>
        </w:rPr>
        <w:t>дерации</w:t>
      </w:r>
      <w:r w:rsidRPr="007D07B3">
        <w:rPr>
          <w:sz w:val="28"/>
          <w:szCs w:val="28"/>
        </w:rPr>
        <w:t xml:space="preserve"> в Темрюкском</w:t>
      </w:r>
      <w:r>
        <w:rPr>
          <w:sz w:val="28"/>
          <w:szCs w:val="28"/>
        </w:rPr>
        <w:t xml:space="preserve"> районе оказали помощь в оформлении группы инвалидности, пенсии и помещении гражданина в дом для инвалидов.</w:t>
      </w:r>
    </w:p>
    <w:p w:rsidR="00775180" w:rsidRPr="007D07B3" w:rsidRDefault="00775180" w:rsidP="0077518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7D07B3">
        <w:rPr>
          <w:rFonts w:ascii="Times New Roman" w:hAnsi="Times New Roman"/>
          <w:sz w:val="28"/>
          <w:szCs w:val="28"/>
          <w:lang w:val="ru-RU"/>
        </w:rPr>
        <w:t>Практика еще раз показала, что подобные мероприятия востребованы жителями района, поэтому администрация муниципального образования Темрюкский район будет и впредь проводить социальные десанты в поселениях района ежегодно.</w:t>
      </w:r>
    </w:p>
    <w:p w:rsidR="00775180" w:rsidRPr="007D07B3" w:rsidRDefault="00775180" w:rsidP="0077518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07B3">
        <w:rPr>
          <w:rFonts w:ascii="Times New Roman" w:hAnsi="Times New Roman"/>
          <w:sz w:val="28"/>
          <w:szCs w:val="28"/>
          <w:lang w:val="ru-RU"/>
        </w:rPr>
        <w:tab/>
      </w:r>
      <w:r w:rsidRPr="007D07B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Практически все обращения граждан по вопросам социального обеспечения рассматривались с участием заявителей </w:t>
      </w:r>
      <w:r w:rsidRPr="007D07B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 привлечением специалистов учреждений по направлению обращений.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Использовалась</w:t>
      </w:r>
      <w:r w:rsidRPr="007D07B3">
        <w:rPr>
          <w:rFonts w:ascii="Times New Roman" w:hAnsi="Times New Roman"/>
          <w:color w:val="000000"/>
          <w:sz w:val="28"/>
          <w:szCs w:val="28"/>
          <w:lang w:val="ru-RU"/>
        </w:rPr>
        <w:t xml:space="preserve"> «обратная связь», у </w:t>
      </w:r>
      <w:r w:rsidRPr="007D07B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всех обратившихся граждан имеются контактные телефоны отдела, как стацио</w:t>
      </w:r>
      <w:r w:rsidRPr="007D07B3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нарный, так и сотовый. Работа направлена на исключение обращений граждан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федеральные</w:t>
      </w:r>
      <w:r w:rsidRPr="007D07B3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краевые </w:t>
      </w:r>
      <w:r w:rsidRPr="007D07B3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инстан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ции и решения вопросов на местах.</w:t>
      </w:r>
    </w:p>
    <w:p w:rsidR="00775180" w:rsidRDefault="00775180" w:rsidP="00775180">
      <w:pPr>
        <w:shd w:val="clear" w:color="auto" w:fill="FFFFFF"/>
        <w:ind w:right="197"/>
        <w:jc w:val="both"/>
        <w:rPr>
          <w:sz w:val="28"/>
          <w:szCs w:val="28"/>
        </w:rPr>
      </w:pPr>
      <w:r>
        <w:rPr>
          <w:rFonts w:ascii="Calibri" w:hAnsi="Calibri"/>
          <w:b/>
          <w:szCs w:val="28"/>
          <w:lang w:eastAsia="en-US" w:bidi="en-US"/>
        </w:rPr>
        <w:tab/>
      </w:r>
      <w:r>
        <w:rPr>
          <w:sz w:val="28"/>
          <w:szCs w:val="28"/>
        </w:rPr>
        <w:t>В числе</w:t>
      </w:r>
      <w:r w:rsidRPr="00872DCF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сов</w:t>
      </w:r>
      <w:r w:rsidRPr="00872DCF">
        <w:rPr>
          <w:sz w:val="28"/>
          <w:szCs w:val="28"/>
        </w:rPr>
        <w:t xml:space="preserve"> земельного урегулирования - </w:t>
      </w:r>
      <w:r>
        <w:rPr>
          <w:sz w:val="28"/>
          <w:szCs w:val="28"/>
        </w:rPr>
        <w:t>277 (18,1</w:t>
      </w:r>
      <w:r w:rsidRPr="00872DCF">
        <w:rPr>
          <w:sz w:val="28"/>
          <w:szCs w:val="28"/>
        </w:rPr>
        <w:t xml:space="preserve">%),преобладают вопросы возврата земельных паев, приватизации земельных участков, согласования границ, выделения земли для развития личного подсобного хозяйства, заявители чаще всего спрашивали о реализации программы государственной поддержки многодетных семей в части предоставления земельных участков под индивидуальное жилищное </w:t>
      </w:r>
      <w:r w:rsidRPr="00872DCF">
        <w:rPr>
          <w:sz w:val="28"/>
          <w:szCs w:val="28"/>
        </w:rPr>
        <w:lastRenderedPageBreak/>
        <w:t>строительство, предоставление земли многодетным семьям. Для решения вопросов о предоставлении земельных участков многодет</w:t>
      </w:r>
      <w:r>
        <w:rPr>
          <w:sz w:val="28"/>
          <w:szCs w:val="28"/>
        </w:rPr>
        <w:t>ным семьям проведены</w:t>
      </w:r>
      <w:r w:rsidRPr="00872DCF">
        <w:rPr>
          <w:sz w:val="28"/>
          <w:szCs w:val="28"/>
        </w:rPr>
        <w:t xml:space="preserve"> заседа</w:t>
      </w:r>
      <w:r>
        <w:rPr>
          <w:sz w:val="28"/>
          <w:szCs w:val="28"/>
        </w:rPr>
        <w:t>ния</w:t>
      </w:r>
      <w:r w:rsidRPr="00872DCF">
        <w:rPr>
          <w:sz w:val="28"/>
          <w:szCs w:val="28"/>
        </w:rPr>
        <w:t xml:space="preserve"> рабочей группы.</w:t>
      </w:r>
      <w:r>
        <w:rPr>
          <w:sz w:val="28"/>
          <w:szCs w:val="28"/>
        </w:rPr>
        <w:t xml:space="preserve"> За период с января 2013года предоставлено 78 земельных участков, сформировано -208.Вопросы формирование земельных участков в целях предоставления </w:t>
      </w:r>
      <w:proofErr w:type="gramStart"/>
      <w:r>
        <w:rPr>
          <w:sz w:val="28"/>
          <w:szCs w:val="28"/>
        </w:rPr>
        <w:t>гражданам, имеющим трех и более детей находятся</w:t>
      </w:r>
      <w:proofErr w:type="gramEnd"/>
      <w:r>
        <w:rPr>
          <w:sz w:val="28"/>
          <w:szCs w:val="28"/>
        </w:rPr>
        <w:t xml:space="preserve"> на особом контроле и ведутся в соответствии с действующим законодательством. </w:t>
      </w:r>
      <w:r w:rsidRPr="00872DCF">
        <w:rPr>
          <w:sz w:val="28"/>
          <w:szCs w:val="28"/>
        </w:rPr>
        <w:t xml:space="preserve"> Вся информация размещается на сайте администрации, публикуется в СМИ.</w:t>
      </w:r>
    </w:p>
    <w:p w:rsidR="00775180" w:rsidRDefault="00775180" w:rsidP="00775180">
      <w:pPr>
        <w:shd w:val="clear" w:color="auto" w:fill="FFFFFF"/>
        <w:ind w:right="197"/>
        <w:jc w:val="both"/>
        <w:rPr>
          <w:sz w:val="28"/>
          <w:szCs w:val="28"/>
        </w:rPr>
      </w:pPr>
    </w:p>
    <w:p w:rsidR="00775180" w:rsidRPr="00F4460E" w:rsidRDefault="00775180" w:rsidP="00775180">
      <w:pPr>
        <w:shd w:val="clear" w:color="auto" w:fill="FFFFFF"/>
        <w:ind w:right="1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F4460E">
        <w:rPr>
          <w:sz w:val="28"/>
          <w:szCs w:val="28"/>
        </w:rPr>
        <w:t>Диаграмма № 3</w:t>
      </w:r>
    </w:p>
    <w:p w:rsidR="00775180" w:rsidRPr="007D07B3" w:rsidRDefault="00775180" w:rsidP="00775180">
      <w:pPr>
        <w:jc w:val="center"/>
        <w:rPr>
          <w:sz w:val="28"/>
          <w:szCs w:val="28"/>
        </w:rPr>
      </w:pPr>
      <w:r w:rsidRPr="007D07B3">
        <w:rPr>
          <w:sz w:val="28"/>
          <w:szCs w:val="28"/>
        </w:rPr>
        <w:t>Основные вопросы письменных обращений граждан,</w:t>
      </w:r>
    </w:p>
    <w:p w:rsidR="00775180" w:rsidRPr="007D07B3" w:rsidRDefault="00775180" w:rsidP="00775180">
      <w:pPr>
        <w:jc w:val="center"/>
        <w:rPr>
          <w:sz w:val="28"/>
          <w:szCs w:val="28"/>
        </w:rPr>
      </w:pPr>
      <w:proofErr w:type="gramStart"/>
      <w:r w:rsidRPr="007D07B3">
        <w:rPr>
          <w:sz w:val="28"/>
          <w:szCs w:val="28"/>
        </w:rPr>
        <w:t>поступивших</w:t>
      </w:r>
      <w:proofErr w:type="gramEnd"/>
      <w:r w:rsidRPr="007D07B3">
        <w:rPr>
          <w:sz w:val="28"/>
          <w:szCs w:val="28"/>
        </w:rPr>
        <w:t xml:space="preserve">  в администрацию муниципального образования</w:t>
      </w:r>
    </w:p>
    <w:p w:rsidR="00775180" w:rsidRPr="004678FE" w:rsidRDefault="00775180" w:rsidP="00775180">
      <w:pPr>
        <w:jc w:val="center"/>
        <w:rPr>
          <w:sz w:val="28"/>
          <w:szCs w:val="28"/>
        </w:rPr>
      </w:pPr>
      <w:r w:rsidRPr="007D07B3">
        <w:rPr>
          <w:sz w:val="28"/>
          <w:szCs w:val="28"/>
        </w:rPr>
        <w:t>Темрюкский район за 12месяцев  2013 года</w:t>
      </w:r>
    </w:p>
    <w:p w:rsidR="00775180" w:rsidRPr="00B7653E" w:rsidRDefault="00775180" w:rsidP="0077518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05500" cy="47434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5180" w:rsidRPr="004678FE" w:rsidRDefault="00775180" w:rsidP="00775180">
      <w:pPr>
        <w:pStyle w:val="a4"/>
        <w:ind w:firstLine="708"/>
        <w:rPr>
          <w:szCs w:val="28"/>
        </w:rPr>
      </w:pPr>
      <w:r w:rsidRPr="004678FE">
        <w:t xml:space="preserve"> </w:t>
      </w:r>
      <w:proofErr w:type="gramStart"/>
      <w:r w:rsidRPr="004678FE">
        <w:t>Многие обращения не относятся к вопросам местного значения и решаются только в рамках  Федерального законодательства (повышение пенсии, вопросы невыплаты заработной платы и повышения ее размера, жалобы на неисполнение судебных решений, на необоснованные, по мнению авторов, отказы в возбуждении уголовных дел, просьбы о содействии в пересмотре судебных решений и разрешение бытовых конфликтов между соседями и родственниками и т.д.), ответы на</w:t>
      </w:r>
      <w:proofErr w:type="gramEnd"/>
      <w:r w:rsidRPr="004678FE">
        <w:t xml:space="preserve"> них носят разъяснительный характер.</w:t>
      </w:r>
      <w:r w:rsidRPr="004678FE">
        <w:rPr>
          <w:szCs w:val="28"/>
        </w:rPr>
        <w:t xml:space="preserve">  </w:t>
      </w:r>
    </w:p>
    <w:p w:rsidR="00775180" w:rsidRPr="0035761A" w:rsidRDefault="00775180" w:rsidP="00775180">
      <w:pPr>
        <w:pStyle w:val="a4"/>
        <w:ind w:firstLine="708"/>
      </w:pPr>
      <w:r w:rsidRPr="0035761A">
        <w:rPr>
          <w:szCs w:val="28"/>
        </w:rPr>
        <w:lastRenderedPageBreak/>
        <w:t>Для усиления объективности рассмотрения обращений проводится комиссионное рассмотрение обращений граждан с участием представителей общественности, депутатов, специалистов структурных подразделений с участием специалиста обеспечивающего деятельность приемной главы администрации (губернатора) Краснодарского края в муниципальном образовании заявителей в присутствии заявителей, составляются акты обследования.</w:t>
      </w:r>
      <w:r w:rsidRPr="0035761A">
        <w:t xml:space="preserve"> </w:t>
      </w:r>
      <w:r w:rsidRPr="0035761A">
        <w:rPr>
          <w:szCs w:val="28"/>
        </w:rPr>
        <w:t xml:space="preserve">Из всех поставленных на контроль  1533 письменных обращений граждан рассмотрено  </w:t>
      </w:r>
      <w:proofErr w:type="spellStart"/>
      <w:r w:rsidRPr="0035761A">
        <w:rPr>
          <w:szCs w:val="28"/>
        </w:rPr>
        <w:t>комисси</w:t>
      </w:r>
      <w:r>
        <w:rPr>
          <w:szCs w:val="28"/>
        </w:rPr>
        <w:t>онно</w:t>
      </w:r>
      <w:proofErr w:type="spellEnd"/>
      <w:r>
        <w:rPr>
          <w:szCs w:val="28"/>
        </w:rPr>
        <w:t>, с выездом на место 1165(79</w:t>
      </w:r>
      <w:r w:rsidRPr="0035761A">
        <w:rPr>
          <w:szCs w:val="28"/>
        </w:rPr>
        <w:t xml:space="preserve">%). </w:t>
      </w:r>
    </w:p>
    <w:p w:rsidR="00775180" w:rsidRPr="0035761A" w:rsidRDefault="00775180" w:rsidP="00775180">
      <w:pPr>
        <w:pStyle w:val="a4"/>
        <w:ind w:firstLine="708"/>
        <w:rPr>
          <w:szCs w:val="28"/>
        </w:rPr>
      </w:pPr>
      <w:r w:rsidRPr="0035761A">
        <w:t xml:space="preserve">По результатам рассмотрения вопросов обращений: </w:t>
      </w:r>
      <w:r>
        <w:t>разъяснено – 78,5%, удовлетворено – 21,5</w:t>
      </w:r>
      <w:r w:rsidRPr="0035761A">
        <w:t>%.</w:t>
      </w:r>
    </w:p>
    <w:p w:rsidR="00775180" w:rsidRPr="0035761A" w:rsidRDefault="00775180" w:rsidP="00775180">
      <w:pPr>
        <w:jc w:val="both"/>
        <w:rPr>
          <w:szCs w:val="28"/>
        </w:rPr>
      </w:pPr>
      <w:r w:rsidRPr="0035761A">
        <w:rPr>
          <w:i/>
          <w:szCs w:val="28"/>
        </w:rPr>
        <w:t xml:space="preserve"> </w:t>
      </w:r>
      <w:r w:rsidRPr="0035761A">
        <w:rPr>
          <w:szCs w:val="28"/>
        </w:rPr>
        <w:t xml:space="preserve">           </w:t>
      </w:r>
      <w:r w:rsidRPr="0035761A">
        <w:rPr>
          <w:sz w:val="28"/>
          <w:szCs w:val="28"/>
        </w:rPr>
        <w:t>Наибольшее количество письменных обращений   поступило  от жителей   Темрюкс</w:t>
      </w:r>
      <w:r>
        <w:rPr>
          <w:sz w:val="28"/>
          <w:szCs w:val="28"/>
        </w:rPr>
        <w:t>кого городского поселения – 573</w:t>
      </w:r>
      <w:r w:rsidRPr="0035761A">
        <w:rPr>
          <w:sz w:val="28"/>
          <w:szCs w:val="28"/>
        </w:rPr>
        <w:t xml:space="preserve"> (</w:t>
      </w:r>
      <w:r>
        <w:rPr>
          <w:sz w:val="28"/>
          <w:szCs w:val="28"/>
        </w:rPr>
        <w:t>37,3</w:t>
      </w:r>
      <w:r w:rsidRPr="0035761A">
        <w:rPr>
          <w:sz w:val="28"/>
          <w:szCs w:val="28"/>
        </w:rPr>
        <w:t>%), Таманского сельского поселе</w:t>
      </w:r>
      <w:r>
        <w:rPr>
          <w:sz w:val="28"/>
          <w:szCs w:val="28"/>
        </w:rPr>
        <w:t>ния – 188</w:t>
      </w:r>
      <w:r w:rsidRPr="0035761A">
        <w:rPr>
          <w:sz w:val="28"/>
          <w:szCs w:val="28"/>
        </w:rPr>
        <w:t>(</w:t>
      </w:r>
      <w:r>
        <w:rPr>
          <w:sz w:val="28"/>
          <w:szCs w:val="28"/>
        </w:rPr>
        <w:t>12,3</w:t>
      </w:r>
      <w:r w:rsidRPr="0035761A">
        <w:rPr>
          <w:sz w:val="28"/>
          <w:szCs w:val="28"/>
        </w:rPr>
        <w:t xml:space="preserve">%), </w:t>
      </w:r>
      <w:proofErr w:type="spellStart"/>
      <w:r w:rsidRPr="0035761A">
        <w:rPr>
          <w:sz w:val="28"/>
          <w:szCs w:val="28"/>
        </w:rPr>
        <w:t>Краснострельского</w:t>
      </w:r>
      <w:proofErr w:type="spellEnd"/>
      <w:r w:rsidRPr="0035761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94(6,1</w:t>
      </w:r>
      <w:r w:rsidRPr="0035761A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775180" w:rsidRPr="0035761A" w:rsidRDefault="00775180" w:rsidP="00775180">
      <w:pPr>
        <w:jc w:val="both"/>
        <w:rPr>
          <w:sz w:val="28"/>
          <w:szCs w:val="28"/>
        </w:rPr>
      </w:pPr>
    </w:p>
    <w:p w:rsidR="00775180" w:rsidRPr="0035761A" w:rsidRDefault="00775180" w:rsidP="00775180">
      <w:pPr>
        <w:jc w:val="right"/>
        <w:rPr>
          <w:sz w:val="28"/>
          <w:szCs w:val="28"/>
        </w:rPr>
      </w:pPr>
      <w:r w:rsidRPr="0035761A">
        <w:rPr>
          <w:sz w:val="28"/>
          <w:szCs w:val="28"/>
        </w:rPr>
        <w:t xml:space="preserve">Диаграмма № 4          </w:t>
      </w:r>
    </w:p>
    <w:p w:rsidR="00775180" w:rsidRPr="0035761A" w:rsidRDefault="00775180" w:rsidP="00775180">
      <w:pPr>
        <w:jc w:val="right"/>
        <w:rPr>
          <w:sz w:val="28"/>
          <w:szCs w:val="28"/>
        </w:rPr>
      </w:pPr>
    </w:p>
    <w:p w:rsidR="00775180" w:rsidRDefault="00775180" w:rsidP="00775180">
      <w:pPr>
        <w:jc w:val="both"/>
        <w:rPr>
          <w:sz w:val="28"/>
          <w:szCs w:val="28"/>
        </w:rPr>
      </w:pPr>
      <w:r w:rsidRPr="0035761A">
        <w:rPr>
          <w:sz w:val="28"/>
          <w:szCs w:val="28"/>
        </w:rPr>
        <w:t>Количество письменных обращений, поступивших в администрацию муниципального образования Темрюкский район в 2013 года</w:t>
      </w:r>
      <w:r>
        <w:rPr>
          <w:sz w:val="28"/>
          <w:szCs w:val="28"/>
        </w:rPr>
        <w:t xml:space="preserve"> </w:t>
      </w:r>
    </w:p>
    <w:p w:rsidR="00775180" w:rsidRDefault="00775180" w:rsidP="00775180">
      <w:pPr>
        <w:jc w:val="both"/>
        <w:rPr>
          <w:sz w:val="28"/>
          <w:szCs w:val="28"/>
        </w:rPr>
      </w:pPr>
    </w:p>
    <w:p w:rsidR="00775180" w:rsidRPr="0035761A" w:rsidRDefault="00775180" w:rsidP="0077518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01970" cy="3357880"/>
            <wp:effectExtent l="0" t="0" r="17780" b="1397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5180" w:rsidRDefault="00775180" w:rsidP="00775180">
      <w:pPr>
        <w:jc w:val="both"/>
        <w:rPr>
          <w:b/>
          <w:sz w:val="28"/>
          <w:szCs w:val="28"/>
        </w:rPr>
      </w:pPr>
    </w:p>
    <w:p w:rsidR="00775180" w:rsidRDefault="00775180" w:rsidP="00775180">
      <w:pPr>
        <w:jc w:val="both"/>
        <w:rPr>
          <w:b/>
          <w:sz w:val="28"/>
          <w:szCs w:val="28"/>
        </w:rPr>
      </w:pPr>
    </w:p>
    <w:p w:rsidR="00775180" w:rsidRDefault="00775180" w:rsidP="00775180">
      <w:pPr>
        <w:jc w:val="both"/>
        <w:rPr>
          <w:b/>
          <w:sz w:val="28"/>
          <w:szCs w:val="28"/>
        </w:rPr>
      </w:pPr>
    </w:p>
    <w:p w:rsidR="00775180" w:rsidRPr="000B42E4" w:rsidRDefault="00775180" w:rsidP="007751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0B42E4">
        <w:rPr>
          <w:sz w:val="28"/>
          <w:szCs w:val="28"/>
        </w:rPr>
        <w:t>Обращения, поступившие от жителей сельских и городского поселения в основном затрагивают</w:t>
      </w:r>
      <w:proofErr w:type="gramEnd"/>
      <w:r w:rsidRPr="000B42E4">
        <w:rPr>
          <w:sz w:val="28"/>
          <w:szCs w:val="28"/>
        </w:rPr>
        <w:t xml:space="preserve"> вопросы благоустройства, </w:t>
      </w:r>
      <w:proofErr w:type="spellStart"/>
      <w:r w:rsidRPr="000B42E4">
        <w:rPr>
          <w:sz w:val="28"/>
          <w:szCs w:val="28"/>
        </w:rPr>
        <w:t>газо</w:t>
      </w:r>
      <w:proofErr w:type="spellEnd"/>
      <w:r w:rsidRPr="000B42E4">
        <w:rPr>
          <w:sz w:val="28"/>
          <w:szCs w:val="28"/>
        </w:rPr>
        <w:t xml:space="preserve"> и электро</w:t>
      </w:r>
      <w:r>
        <w:rPr>
          <w:sz w:val="28"/>
          <w:szCs w:val="28"/>
        </w:rPr>
        <w:t>снабжения, медицинского обслуживания.</w:t>
      </w:r>
    </w:p>
    <w:p w:rsidR="00775180" w:rsidRPr="000B42E4" w:rsidRDefault="00775180" w:rsidP="0077518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B42E4">
        <w:rPr>
          <w:sz w:val="28"/>
          <w:szCs w:val="28"/>
        </w:rPr>
        <w:lastRenderedPageBreak/>
        <w:t xml:space="preserve">Для эффективной работы по рассмотрению обращений и снижению причин, порождающих обращения в администрацию муниципального образования Темрюкский район в федеральные и краевые структуры ведется системная работа. </w:t>
      </w:r>
    </w:p>
    <w:p w:rsidR="00775180" w:rsidRPr="000B42E4" w:rsidRDefault="00775180" w:rsidP="00775180">
      <w:pPr>
        <w:ind w:firstLine="720"/>
        <w:jc w:val="both"/>
      </w:pPr>
      <w:r w:rsidRPr="000B42E4">
        <w:rPr>
          <w:sz w:val="28"/>
          <w:szCs w:val="28"/>
        </w:rPr>
        <w:t>Используются рекомендованные администрацией Краснодарского края современные формы и методы работы с населением. Уделяется постоянное внимание вопросам расширения связей органов власти с населением. Составлены и утверждены графики приема граждан главой муниципального образования  и его заместителями. Графики приема обнародованы в средствах массовой информации, размещены на сайте администрации, информационном терминале и на информационном стенде в вестибюле администрации. Посетители могут свободно записаться на прием к любому должностному лицу, обозначенному в графике</w:t>
      </w:r>
      <w:r w:rsidRPr="000B42E4">
        <w:t>.</w:t>
      </w:r>
    </w:p>
    <w:p w:rsidR="00775180" w:rsidRPr="000B42E4" w:rsidRDefault="00775180" w:rsidP="00775180">
      <w:pPr>
        <w:ind w:firstLine="720"/>
        <w:jc w:val="both"/>
        <w:rPr>
          <w:color w:val="000000"/>
          <w:sz w:val="28"/>
          <w:szCs w:val="28"/>
        </w:rPr>
      </w:pPr>
      <w:r w:rsidRPr="000B42E4">
        <w:t xml:space="preserve"> </w:t>
      </w:r>
      <w:r w:rsidRPr="000B42E4">
        <w:rPr>
          <w:color w:val="000000"/>
          <w:sz w:val="28"/>
          <w:szCs w:val="28"/>
        </w:rPr>
        <w:t xml:space="preserve">В рамках рекомендаций Управления Президента РФ по работе с обращениями граждан 12декабря в общероссийский единый приемный день был проведен прием граждан главой муниципального образования Темрюкский район, заместителями главы муниципального образования Темрюкский район и главами городского и сельских поселений района. Было принято 49 человек, в том числе 12 человек побывали на приеме у главы района. </w:t>
      </w:r>
    </w:p>
    <w:p w:rsidR="00775180" w:rsidRPr="000B42E4" w:rsidRDefault="00775180" w:rsidP="00775180">
      <w:pPr>
        <w:ind w:firstLine="720"/>
        <w:jc w:val="both"/>
        <w:rPr>
          <w:i/>
          <w:color w:val="000000"/>
          <w:sz w:val="28"/>
          <w:szCs w:val="28"/>
        </w:rPr>
      </w:pPr>
      <w:proofErr w:type="gramStart"/>
      <w:r w:rsidRPr="000B42E4">
        <w:rPr>
          <w:color w:val="000000"/>
          <w:sz w:val="28"/>
          <w:szCs w:val="28"/>
        </w:rPr>
        <w:t>В</w:t>
      </w:r>
      <w:r w:rsidRPr="000B42E4">
        <w:rPr>
          <w:i/>
          <w:color w:val="000000"/>
          <w:sz w:val="28"/>
          <w:szCs w:val="28"/>
        </w:rPr>
        <w:t xml:space="preserve"> </w:t>
      </w:r>
      <w:r w:rsidRPr="000B42E4">
        <w:rPr>
          <w:color w:val="000000"/>
          <w:sz w:val="28"/>
          <w:szCs w:val="28"/>
        </w:rPr>
        <w:t>целях координации общественного мнения населения в поселениях муниципального образования Темрюкский район, совершенствования взаимодействия органов  исполнительной власти с органами местного самоуправления и организациями, расположенными на территории муниципального образования, доведения до сведения жителей района  и трудовых коллективов информации о деятельности органов власти района для реализации прав заявителей на получение ответов по существу поставленных вопросов, при личных обращениях в любые государственные органы</w:t>
      </w:r>
      <w:proofErr w:type="gramEnd"/>
      <w:r w:rsidRPr="000B42E4">
        <w:rPr>
          <w:color w:val="000000"/>
          <w:sz w:val="28"/>
          <w:szCs w:val="28"/>
        </w:rPr>
        <w:t xml:space="preserve">  или любые органы местного самоуправления от уполномоченных лиц, государственных лиц или органов местного самоуправления, в компетенцию которых входит решение, поставленных в обращениях вопросов, за муниципальными поселениями закреплены заместители главы муниципального образования Темрюкский район. Разработан график встреч с трудовыми коллективами главой района. В четвертом квартале поведено две встречи, охвачено более трехсот человек. </w:t>
      </w:r>
    </w:p>
    <w:p w:rsidR="00775180" w:rsidRPr="000B42E4" w:rsidRDefault="00775180" w:rsidP="00775180">
      <w:pPr>
        <w:pStyle w:val="a4"/>
        <w:ind w:firstLine="705"/>
        <w:rPr>
          <w:szCs w:val="28"/>
        </w:rPr>
      </w:pPr>
      <w:r w:rsidRPr="000B42E4">
        <w:rPr>
          <w:szCs w:val="28"/>
        </w:rPr>
        <w:t xml:space="preserve">Для объективной оценки ситуации на местах, по поручению губернатора Краснодарского края </w:t>
      </w:r>
      <w:proofErr w:type="spellStart"/>
      <w:r w:rsidRPr="000B42E4">
        <w:rPr>
          <w:szCs w:val="28"/>
        </w:rPr>
        <w:t>А.Н.Ткачева</w:t>
      </w:r>
      <w:proofErr w:type="spellEnd"/>
      <w:r w:rsidRPr="000B42E4">
        <w:rPr>
          <w:szCs w:val="28"/>
        </w:rPr>
        <w:t xml:space="preserve">  работает  приемная главы администрации (губернатора) Краснодарского края. Обеспечен доступ граждан к электронным приемным для обращения по всем волнующим их вопросам. На фасаде здания администрации муниципального образования Темрюкский район и во всех двенадцати поселениях Темрюкского района размещены  почтовые ящики «Почта Губернатора», в фойе здания установлен</w:t>
      </w:r>
      <w:r w:rsidRPr="005B2D6E">
        <w:rPr>
          <w:b/>
          <w:szCs w:val="28"/>
        </w:rPr>
        <w:t xml:space="preserve"> </w:t>
      </w:r>
      <w:r w:rsidRPr="000B42E4">
        <w:rPr>
          <w:szCs w:val="28"/>
        </w:rPr>
        <w:t xml:space="preserve">почтовый бокс «Почта Губернатора», в холле установлены стенды «О порядке рассмотрения обращения граждан Российской Федерации», «Информация о работе приемной главы администрации </w:t>
      </w:r>
      <w:r w:rsidRPr="000B42E4">
        <w:rPr>
          <w:szCs w:val="28"/>
        </w:rPr>
        <w:lastRenderedPageBreak/>
        <w:t>(губернатора) Краснодарского края». На стендах размещена информация, регламентирующая работу с обращениями граждан:</w:t>
      </w:r>
      <w:r w:rsidRPr="000B42E4">
        <w:t xml:space="preserve"> </w:t>
      </w:r>
      <w:proofErr w:type="gramStart"/>
      <w:r w:rsidRPr="000B42E4">
        <w:t>Федеральный закон от 02 мая 2006 года  № 59-ФЗ «О порядке рассмотрения обращений граждан Российской Федерации», Федеральный закон от 09 февраля 2009года  № 8-ФЗ «Об обеспечении доступа к информации о деятельности государственных органов и органов местного самоуправления», Закон Краснодарского края от 28 июня 2007 года № 1270-КЗ «О дополнительных гарантиях реализации права граждан на обращения в Краснодарском крае», Закон Краснодарского края № 2000-КЗ от</w:t>
      </w:r>
      <w:proofErr w:type="gramEnd"/>
      <w:r w:rsidRPr="000B42E4">
        <w:t xml:space="preserve"> 16 июля 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</w:t>
      </w:r>
      <w:r w:rsidRPr="000B42E4">
        <w:rPr>
          <w:szCs w:val="28"/>
        </w:rPr>
        <w:t>номера телефонов высших государственных органов и органов местного самоуправления и т.д.</w:t>
      </w:r>
    </w:p>
    <w:p w:rsidR="00775180" w:rsidRPr="000B42E4" w:rsidRDefault="00775180" w:rsidP="00775180">
      <w:pPr>
        <w:pStyle w:val="a4"/>
        <w:ind w:firstLine="705"/>
        <w:rPr>
          <w:szCs w:val="28"/>
        </w:rPr>
      </w:pPr>
      <w:r w:rsidRPr="000B42E4">
        <w:rPr>
          <w:szCs w:val="28"/>
        </w:rPr>
        <w:t xml:space="preserve">Для беспрепятственного доступа в здание администрации муниципального образования Темрюкский район людям с ограниченными возможностями в передвижении обустроен пандус. Таким образом, руководством администрации муниципального образования Темрюкский район созданы условия для реализации конституционного права граждан - обращаться к высшим должностным  лицам района и края. </w:t>
      </w:r>
    </w:p>
    <w:p w:rsidR="00775180" w:rsidRPr="000B42E4" w:rsidRDefault="00775180" w:rsidP="007751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42E4">
        <w:rPr>
          <w:sz w:val="28"/>
          <w:szCs w:val="28"/>
        </w:rPr>
        <w:t xml:space="preserve">Еженедельно глава муниципального образования Темрюкский район проводит прием граждан по личным вопросам. Большое внимание уделяется  «некабинетным» формам работы с населением, проживающим в отдаленных малодоступных населенных пунктах. Глава муниципального образования Темрюкский район лично участвует в рассмотрении обращений с выездом на место. За отчетный период в каждом поселении района проведены сходы граждан и выездные сессии.  </w:t>
      </w:r>
    </w:p>
    <w:p w:rsidR="00775180" w:rsidRDefault="00775180" w:rsidP="00775180">
      <w:pPr>
        <w:pStyle w:val="a4"/>
      </w:pPr>
      <w:r w:rsidRPr="005B2D6E">
        <w:rPr>
          <w:b/>
          <w:szCs w:val="28"/>
        </w:rPr>
        <w:tab/>
      </w:r>
      <w:proofErr w:type="gramStart"/>
      <w:r w:rsidRPr="000B42E4">
        <w:t xml:space="preserve">Для повышения грамотности со специалистами, отвечающими за работу с обращениями граждан </w:t>
      </w:r>
      <w:r w:rsidRPr="000B42E4">
        <w:rPr>
          <w:szCs w:val="28"/>
        </w:rPr>
        <w:t>в структурных подразделений администрации муниципального образования Темрюкский район, в городском и сельских поселениях района</w:t>
      </w:r>
      <w:r w:rsidRPr="000B42E4">
        <w:t xml:space="preserve"> </w:t>
      </w:r>
      <w:r w:rsidRPr="000B42E4">
        <w:rPr>
          <w:szCs w:val="28"/>
        </w:rPr>
        <w:t>проводятся обучающие семинары, на которых рассматриваются вопросы правоприменительной практики Федерального закона от 2 мая 2006 года № 59-ФЗ «О порядке рассмотрения обращений граждан Российской Федерации».</w:t>
      </w:r>
      <w:proofErr w:type="gramEnd"/>
      <w:r w:rsidRPr="000B42E4">
        <w:rPr>
          <w:szCs w:val="28"/>
        </w:rPr>
        <w:t xml:space="preserve"> </w:t>
      </w:r>
      <w:r w:rsidRPr="000B42E4">
        <w:t xml:space="preserve">Оказывается консультативная, методическая и практическая помощь в организации работы с обращениями граждан в целях повышения качества работы, пресечения фактов направления недостоверных, неполных или необъективных информаций и исключения причин повторных обращений, соблюдения действующего законодательства. Проведена однодневная стажировка в отделе по работе с обращениями граждан администрации муниципального образования Темрюкский район и приемной администрации (губернатора) Краснодарского края в администрации муниципального образования Темрюкский район со </w:t>
      </w:r>
      <w:proofErr w:type="gramStart"/>
      <w:r w:rsidRPr="000B42E4">
        <w:t>специалистами</w:t>
      </w:r>
      <w:proofErr w:type="gramEnd"/>
      <w:r w:rsidRPr="000B42E4">
        <w:t xml:space="preserve"> отвечающими за работу с обращениями граждан в структурных подразделениях администрации района, городском и сельских поселениях. Принято постановление администрации муниципального образования Темрюкский район от 27 марта 2013 года  № 432 «Об утверждении</w:t>
      </w:r>
      <w:r w:rsidRPr="005B2D6E">
        <w:rPr>
          <w:b/>
        </w:rPr>
        <w:t xml:space="preserve"> </w:t>
      </w:r>
      <w:r w:rsidRPr="000B42E4">
        <w:t xml:space="preserve">Порядка работы </w:t>
      </w:r>
      <w:proofErr w:type="gramStart"/>
      <w:r w:rsidRPr="000B42E4">
        <w:t>с</w:t>
      </w:r>
      <w:proofErr w:type="gramEnd"/>
      <w:r w:rsidRPr="000B42E4">
        <w:t xml:space="preserve"> </w:t>
      </w:r>
    </w:p>
    <w:p w:rsidR="00775180" w:rsidRPr="000B42E4" w:rsidRDefault="00775180" w:rsidP="00775180">
      <w:pPr>
        <w:pStyle w:val="a4"/>
        <w:rPr>
          <w:szCs w:val="28"/>
        </w:rPr>
      </w:pPr>
      <w:r w:rsidRPr="000B42E4">
        <w:lastRenderedPageBreak/>
        <w:t xml:space="preserve">обращениями граждан в администрации муниципального образования Темрюкский район». </w:t>
      </w:r>
    </w:p>
    <w:p w:rsidR="00775180" w:rsidRPr="00457BD6" w:rsidRDefault="00775180" w:rsidP="00775180">
      <w:pPr>
        <w:pStyle w:val="a4"/>
        <w:ind w:firstLine="708"/>
        <w:rPr>
          <w:szCs w:val="28"/>
        </w:rPr>
      </w:pPr>
      <w:r w:rsidRPr="00457BD6">
        <w:t>Для повышения ответственности должностных лиц при рассмотрении обращений граждан и сокращения количества жалоб в краевые и Федеральные органы власти, факты, изложенные в ответах на обращения граждан, проверяются специалистами отдела по работе с обращениями граждан с выездом на место («</w:t>
      </w:r>
      <w:proofErr w:type="spellStart"/>
      <w:r w:rsidRPr="00457BD6">
        <w:t>фотоконтроль</w:t>
      </w:r>
      <w:proofErr w:type="spellEnd"/>
      <w:r w:rsidRPr="00457BD6">
        <w:t>»), с участием заявителей. Фотоматериал приобщается к материалам рассмотрения обращений.</w:t>
      </w:r>
    </w:p>
    <w:p w:rsidR="00775180" w:rsidRPr="00457BD6" w:rsidRDefault="00775180" w:rsidP="00775180">
      <w:pPr>
        <w:pStyle w:val="a4"/>
        <w:ind w:firstLine="708"/>
      </w:pPr>
      <w:r w:rsidRPr="00457BD6">
        <w:t xml:space="preserve">Проверка достоверности информации о результатах рассмотрения обращений граждан осуществляется и по телефону. Вся информация учитывается в журнале учета проверки достоверности ответов, поступающих на имя главы муниципального образования Темрюкский район. Недостоверные ответы возвращаются на доработку, исполнители привлекаются к дисциплинарной ответственности, обращения ставятся на контроль до полного исполнения. </w:t>
      </w:r>
    </w:p>
    <w:p w:rsidR="00775180" w:rsidRPr="00457BD6" w:rsidRDefault="00775180" w:rsidP="00775180">
      <w:pPr>
        <w:pStyle w:val="a4"/>
        <w:ind w:firstLine="708"/>
      </w:pPr>
      <w:r w:rsidRPr="00457BD6">
        <w:rPr>
          <w:szCs w:val="28"/>
        </w:rPr>
        <w:t xml:space="preserve">Аналитические записки ежеквартально направляются руководителям структурных подразделений администрации муниципального образования Темрюкский район, главам городского и сельских поселений Темрюкского района, заслушиваются на планерных и аппаратных совещаниях («Час контроля») для устранения отмеченных недостатков. </w:t>
      </w:r>
      <w:r w:rsidRPr="00457BD6">
        <w:t>Ежемесячно по итогам работы отдела по работе с обращениями граждан вопросы по проверке достоверности ответов заслушиваются па планерных и аппаратных совещаниях при главе муниципального образования. Осуществляется предупредительный контроль рассмотрения обращений граждан. Еженедельно в структурные подразделения администрации муниципального образования Темрюкский район направляется информация с указанием обращений, срок рассмотрения которых нарушен либо истекает в ближайшее время.</w:t>
      </w:r>
    </w:p>
    <w:p w:rsidR="00775180" w:rsidRPr="00457BD6" w:rsidRDefault="00775180" w:rsidP="00775180">
      <w:pPr>
        <w:pStyle w:val="a4"/>
        <w:ind w:firstLine="708"/>
      </w:pPr>
      <w:r w:rsidRPr="00457BD6">
        <w:t>С целью усовершенствования формы работы с населением и скорейшим решением поднимаемых вопросов, поступивших в адрес главы муниципального образования Темрюкский район, организована «Горячая линия», все вопросы ежедневно докладываются главе и решаются в кратчайшие сроки.</w:t>
      </w:r>
    </w:p>
    <w:p w:rsidR="00775180" w:rsidRPr="00457BD6" w:rsidRDefault="00775180" w:rsidP="00775180">
      <w:pPr>
        <w:pStyle w:val="a4"/>
        <w:ind w:firstLine="708"/>
      </w:pPr>
      <w:r w:rsidRPr="00457BD6">
        <w:t>Например:</w:t>
      </w:r>
      <w:r w:rsidRPr="00457BD6">
        <w:rPr>
          <w:szCs w:val="28"/>
        </w:rPr>
        <w:t xml:space="preserve"> по телефону «Горячей линии» обратилась жительница </w:t>
      </w:r>
      <w:proofErr w:type="spellStart"/>
      <w:r w:rsidRPr="00457BD6">
        <w:rPr>
          <w:szCs w:val="28"/>
        </w:rPr>
        <w:t>ст-цы</w:t>
      </w:r>
      <w:proofErr w:type="spellEnd"/>
      <w:r w:rsidRPr="00457BD6">
        <w:rPr>
          <w:szCs w:val="28"/>
        </w:rPr>
        <w:t xml:space="preserve"> </w:t>
      </w:r>
      <w:proofErr w:type="spellStart"/>
      <w:r w:rsidRPr="00457BD6">
        <w:rPr>
          <w:szCs w:val="28"/>
        </w:rPr>
        <w:t>Фонталовской</w:t>
      </w:r>
      <w:proofErr w:type="spellEnd"/>
      <w:r w:rsidRPr="00457BD6">
        <w:rPr>
          <w:szCs w:val="28"/>
        </w:rPr>
        <w:t xml:space="preserve"> по вопросу возгорания свалки. В тот же день было организовано тушение свалки двумя экипажами пожарной части. К вечеру пожар был полностью ликвидирован.</w:t>
      </w:r>
    </w:p>
    <w:p w:rsidR="00775180" w:rsidRPr="00457BD6" w:rsidRDefault="00775180" w:rsidP="00775180">
      <w:pPr>
        <w:ind w:firstLine="708"/>
        <w:jc w:val="both"/>
        <w:rPr>
          <w:sz w:val="28"/>
          <w:szCs w:val="28"/>
        </w:rPr>
      </w:pPr>
      <w:r w:rsidRPr="00457BD6">
        <w:rPr>
          <w:sz w:val="28"/>
          <w:szCs w:val="28"/>
        </w:rPr>
        <w:t xml:space="preserve"> На сайте администрации муниципального образования Темрюкский ра</w:t>
      </w:r>
      <w:r>
        <w:rPr>
          <w:sz w:val="28"/>
          <w:szCs w:val="28"/>
        </w:rPr>
        <w:t xml:space="preserve">й </w:t>
      </w:r>
      <w:r w:rsidRPr="00457BD6">
        <w:rPr>
          <w:sz w:val="28"/>
          <w:szCs w:val="28"/>
        </w:rPr>
        <w:t>он работает виртуальная приемная, каждому заявителю отправляется ответ по электронной почте, размещается информация разъяснительного характера о порядке участия в федеральных и краевых целевых программах</w:t>
      </w:r>
      <w:r>
        <w:rPr>
          <w:sz w:val="28"/>
          <w:szCs w:val="28"/>
        </w:rPr>
        <w:t>.</w:t>
      </w:r>
    </w:p>
    <w:p w:rsidR="00775180" w:rsidRPr="00457BD6" w:rsidRDefault="00775180" w:rsidP="00775180">
      <w:pPr>
        <w:ind w:firstLine="708"/>
        <w:jc w:val="both"/>
        <w:rPr>
          <w:sz w:val="28"/>
          <w:szCs w:val="28"/>
        </w:rPr>
      </w:pPr>
      <w:r w:rsidRPr="00457BD6">
        <w:rPr>
          <w:sz w:val="28"/>
          <w:szCs w:val="28"/>
        </w:rPr>
        <w:t>Для информирования населения и ведения диалога с властью в газете «Тамань» публикуются изменения в законодательной базе, нормативные правовые акты, социальные программы и мероприятия, регламенты предоставления муниципальных услуг.</w:t>
      </w:r>
    </w:p>
    <w:p w:rsidR="00775180" w:rsidRPr="00457BD6" w:rsidRDefault="00775180" w:rsidP="00775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Публикуется </w:t>
      </w:r>
      <w:r w:rsidRPr="00457BD6">
        <w:rPr>
          <w:sz w:val="28"/>
          <w:szCs w:val="28"/>
        </w:rPr>
        <w:t xml:space="preserve"> информация о ходе рассмотрения обращений граждан, обратившихся </w:t>
      </w:r>
      <w:r>
        <w:rPr>
          <w:sz w:val="28"/>
          <w:szCs w:val="28"/>
        </w:rPr>
        <w:t xml:space="preserve"> к главе</w:t>
      </w:r>
      <w:r w:rsidRPr="00457BD6">
        <w:rPr>
          <w:sz w:val="28"/>
          <w:szCs w:val="28"/>
        </w:rPr>
        <w:t xml:space="preserve"> муниципального образования Темрюкский район на личном приеме, через «Почтовый ящик», «Виртуальную приемную», телефон «Горячей линии», выходит рубрика «Из рабочего графика главы». </w:t>
      </w:r>
      <w:r w:rsidRPr="00457BD6">
        <w:t>В</w:t>
      </w:r>
      <w:r>
        <w:rPr>
          <w:sz w:val="28"/>
          <w:szCs w:val="28"/>
        </w:rPr>
        <w:t xml:space="preserve"> разделах</w:t>
      </w:r>
      <w:r w:rsidRPr="00457BD6">
        <w:rPr>
          <w:sz w:val="28"/>
          <w:szCs w:val="28"/>
        </w:rPr>
        <w:t xml:space="preserve"> «Местное самоуправление», «Новости поселений», регулярно публикуются материалы о социально-экономической жизни </w:t>
      </w:r>
      <w:proofErr w:type="gramStart"/>
      <w:r w:rsidRPr="00457BD6">
        <w:rPr>
          <w:sz w:val="28"/>
          <w:szCs w:val="28"/>
        </w:rPr>
        <w:t>городского</w:t>
      </w:r>
      <w:proofErr w:type="gramEnd"/>
      <w:r w:rsidRPr="00457BD6">
        <w:rPr>
          <w:sz w:val="28"/>
          <w:szCs w:val="28"/>
        </w:rPr>
        <w:t xml:space="preserve"> и сельских поселений. </w:t>
      </w:r>
      <w:proofErr w:type="gramStart"/>
      <w:r w:rsidRPr="00457BD6">
        <w:rPr>
          <w:sz w:val="28"/>
          <w:szCs w:val="28"/>
        </w:rPr>
        <w:t>Кроме этого, на страницах районной газеты</w:t>
      </w:r>
      <w:r w:rsidRPr="00297FD5">
        <w:rPr>
          <w:b/>
          <w:sz w:val="28"/>
          <w:szCs w:val="28"/>
        </w:rPr>
        <w:t xml:space="preserve"> </w:t>
      </w:r>
      <w:r w:rsidRPr="00457BD6">
        <w:rPr>
          <w:sz w:val="28"/>
          <w:szCs w:val="28"/>
        </w:rPr>
        <w:t xml:space="preserve">еженедельно выходят тематические </w:t>
      </w:r>
      <w:proofErr w:type="spellStart"/>
      <w:r w:rsidRPr="00457BD6">
        <w:rPr>
          <w:sz w:val="28"/>
          <w:szCs w:val="28"/>
        </w:rPr>
        <w:t>спецвыпуски</w:t>
      </w:r>
      <w:proofErr w:type="spellEnd"/>
      <w:r w:rsidRPr="00457BD6">
        <w:rPr>
          <w:sz w:val="28"/>
          <w:szCs w:val="28"/>
        </w:rPr>
        <w:t xml:space="preserve"> поселений, в которых  прослеживается  работа администраций городского и сельских поселений с обращениями граждан.</w:t>
      </w:r>
      <w:proofErr w:type="gramEnd"/>
      <w:r w:rsidRPr="00457BD6">
        <w:rPr>
          <w:sz w:val="28"/>
          <w:szCs w:val="28"/>
        </w:rPr>
        <w:t xml:space="preserve"> Все поселения Темрюкского района издают местную газету и распространяют бесплатно через квартальных и руководителей </w:t>
      </w:r>
      <w:proofErr w:type="spellStart"/>
      <w:r w:rsidRPr="00457BD6">
        <w:rPr>
          <w:sz w:val="28"/>
          <w:szCs w:val="28"/>
        </w:rPr>
        <w:t>ТОСов</w:t>
      </w:r>
      <w:proofErr w:type="spellEnd"/>
      <w:r w:rsidRPr="00457BD6">
        <w:rPr>
          <w:sz w:val="28"/>
          <w:szCs w:val="28"/>
        </w:rPr>
        <w:t>.</w:t>
      </w:r>
    </w:p>
    <w:p w:rsidR="00775180" w:rsidRPr="00457BD6" w:rsidRDefault="00775180" w:rsidP="0077518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вся информация </w:t>
      </w:r>
      <w:r w:rsidRPr="00457BD6">
        <w:rPr>
          <w:sz w:val="28"/>
          <w:szCs w:val="28"/>
        </w:rPr>
        <w:t xml:space="preserve">размещается на официальном сайте муниципального образования Темрюкский района в разделах «Пресс-центр» (новости, события), на сайтах городского и сельских поселений, районной газеты «Тамань», </w:t>
      </w:r>
      <w:proofErr w:type="spellStart"/>
      <w:r w:rsidRPr="00457BD6">
        <w:rPr>
          <w:sz w:val="28"/>
          <w:szCs w:val="28"/>
        </w:rPr>
        <w:t>Юга</w:t>
      </w:r>
      <w:proofErr w:type="gramStart"/>
      <w:r w:rsidRPr="00457BD6">
        <w:rPr>
          <w:sz w:val="28"/>
          <w:szCs w:val="28"/>
        </w:rPr>
        <w:t>.Р</w:t>
      </w:r>
      <w:proofErr w:type="gramEnd"/>
      <w:r w:rsidRPr="00457BD6">
        <w:rPr>
          <w:sz w:val="28"/>
          <w:szCs w:val="28"/>
        </w:rPr>
        <w:t>у</w:t>
      </w:r>
      <w:proofErr w:type="spellEnd"/>
      <w:r w:rsidRPr="00457BD6">
        <w:rPr>
          <w:sz w:val="28"/>
          <w:szCs w:val="28"/>
        </w:rPr>
        <w:t>, портале исполнительных органов государственной  власти Краснодарского края.</w:t>
      </w:r>
    </w:p>
    <w:p w:rsidR="00775180" w:rsidRPr="00457BD6" w:rsidRDefault="00775180" w:rsidP="00775180">
      <w:pPr>
        <w:ind w:firstLine="720"/>
        <w:jc w:val="both"/>
        <w:rPr>
          <w:sz w:val="28"/>
          <w:szCs w:val="28"/>
        </w:rPr>
      </w:pPr>
      <w:r w:rsidRPr="00457BD6">
        <w:rPr>
          <w:sz w:val="28"/>
          <w:szCs w:val="28"/>
        </w:rPr>
        <w:t>В 2013 году введена новая форма общения главы муниципального образования и его заместителей через сайт Интернет портала Таманского полуострова «</w:t>
      </w:r>
      <w:proofErr w:type="spellStart"/>
      <w:r w:rsidRPr="00457BD6">
        <w:rPr>
          <w:sz w:val="28"/>
          <w:szCs w:val="28"/>
        </w:rPr>
        <w:t>Темрюкинфо</w:t>
      </w:r>
      <w:proofErr w:type="spellEnd"/>
      <w:r w:rsidRPr="00457BD6">
        <w:rPr>
          <w:sz w:val="28"/>
          <w:szCs w:val="28"/>
        </w:rPr>
        <w:t>». Каждый желающий может задать вопрос, как главе района, так и его заместителям и в кратчайшие сроки получить ответы на озвученные вопросы.</w:t>
      </w:r>
    </w:p>
    <w:p w:rsidR="00775180" w:rsidRDefault="00775180" w:rsidP="00775180">
      <w:pPr>
        <w:ind w:firstLine="708"/>
        <w:jc w:val="both"/>
        <w:rPr>
          <w:sz w:val="28"/>
          <w:szCs w:val="28"/>
        </w:rPr>
      </w:pPr>
      <w:r w:rsidRPr="00382777">
        <w:rPr>
          <w:sz w:val="28"/>
          <w:szCs w:val="28"/>
        </w:rPr>
        <w:t>В целях укрепления</w:t>
      </w:r>
      <w:r>
        <w:rPr>
          <w:sz w:val="28"/>
          <w:szCs w:val="28"/>
        </w:rPr>
        <w:t xml:space="preserve"> конструктивного</w:t>
      </w:r>
      <w:r w:rsidRPr="00382777">
        <w:rPr>
          <w:sz w:val="28"/>
          <w:szCs w:val="28"/>
        </w:rPr>
        <w:t xml:space="preserve"> диалога власти</w:t>
      </w:r>
      <w:r>
        <w:rPr>
          <w:sz w:val="28"/>
          <w:szCs w:val="28"/>
        </w:rPr>
        <w:t xml:space="preserve">, структур общества и населения </w:t>
      </w:r>
      <w:r w:rsidRPr="00382777">
        <w:rPr>
          <w:sz w:val="28"/>
          <w:szCs w:val="28"/>
        </w:rPr>
        <w:t>постановлением администрации муниципального образования Те</w:t>
      </w:r>
      <w:r>
        <w:rPr>
          <w:sz w:val="28"/>
          <w:szCs w:val="28"/>
        </w:rPr>
        <w:t>мрюкский район</w:t>
      </w:r>
      <w:r w:rsidRPr="00382777">
        <w:rPr>
          <w:sz w:val="28"/>
          <w:szCs w:val="28"/>
        </w:rPr>
        <w:t xml:space="preserve"> был создан консультативный орган - Общественный Совет при главе муниципального образования Темрюкский район. В состав Общественного Совета на основе добровольного участия вошли рук</w:t>
      </w:r>
      <w:r>
        <w:rPr>
          <w:sz w:val="28"/>
          <w:szCs w:val="28"/>
        </w:rPr>
        <w:t>оводители или представители</w:t>
      </w:r>
      <w:r w:rsidRPr="00382777">
        <w:rPr>
          <w:sz w:val="28"/>
          <w:szCs w:val="28"/>
        </w:rPr>
        <w:t xml:space="preserve"> политических партий, общественных организаций, лидеры национальных диаспор, представители религиозных конфессий. Совет является коллегиальным совещательным органом и работает на общественных началах.</w:t>
      </w:r>
    </w:p>
    <w:p w:rsidR="00775180" w:rsidRDefault="00775180" w:rsidP="0077518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82777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382777">
        <w:rPr>
          <w:sz w:val="28"/>
          <w:szCs w:val="28"/>
        </w:rPr>
        <w:t xml:space="preserve"> году на собраниях Общественного Совета рассматривался весь спектр вопросов, интересующий общественность района: о медицинском обслуживании населения и перспективах развития здравоохранения района, об организации работы коммунальных служб, о подготовке к летнему курортному сезону и организации детского летнего отдыха, о проблемах инвалидов и пути их решения, экологические проблемы района и пути их решения, о роли общественных и ветеранских организаций по</w:t>
      </w:r>
      <w:proofErr w:type="gramEnd"/>
      <w:r w:rsidRPr="00382777">
        <w:rPr>
          <w:sz w:val="28"/>
          <w:szCs w:val="28"/>
        </w:rPr>
        <w:t xml:space="preserve"> военно-патриотическому и трудовому воспитанию молодежи и другие вопросы</w:t>
      </w:r>
      <w:r>
        <w:rPr>
          <w:sz w:val="28"/>
          <w:szCs w:val="28"/>
        </w:rPr>
        <w:t xml:space="preserve">. </w:t>
      </w:r>
    </w:p>
    <w:p w:rsidR="00775180" w:rsidRDefault="00775180" w:rsidP="00775180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proofErr w:type="gramStart"/>
      <w:r w:rsidRPr="005D2EA4">
        <w:rPr>
          <w:color w:val="000000"/>
          <w:sz w:val="28"/>
          <w:szCs w:val="28"/>
        </w:rPr>
        <w:t>Руководство муниципального образования Темрюкский район</w:t>
      </w:r>
      <w:r w:rsidRPr="005D2EA4">
        <w:rPr>
          <w:color w:val="000000"/>
          <w:spacing w:val="-1"/>
          <w:sz w:val="28"/>
          <w:szCs w:val="28"/>
        </w:rPr>
        <w:t xml:space="preserve"> </w:t>
      </w:r>
      <w:r w:rsidRPr="005D2EA4">
        <w:rPr>
          <w:color w:val="000000"/>
          <w:sz w:val="28"/>
          <w:szCs w:val="28"/>
        </w:rPr>
        <w:t xml:space="preserve">принимает все меры, направленные на сокращение </w:t>
      </w:r>
      <w:r w:rsidRPr="005D2EA4">
        <w:rPr>
          <w:color w:val="000000"/>
          <w:spacing w:val="-1"/>
          <w:sz w:val="28"/>
          <w:szCs w:val="28"/>
        </w:rPr>
        <w:t>письменных обращений граждан в адрес в краевых и федеральных структуры.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Pr="005D2EA4">
        <w:rPr>
          <w:sz w:val="28"/>
          <w:szCs w:val="28"/>
        </w:rPr>
        <w:t>Приоритетом в этой работе является качество рассмотрения заявлений, предложений, жалоб</w:t>
      </w:r>
      <w:r>
        <w:rPr>
          <w:sz w:val="28"/>
          <w:szCs w:val="28"/>
        </w:rPr>
        <w:t>, полнота ответов, с максимальным решением вопросов. Д</w:t>
      </w:r>
      <w:r w:rsidRPr="005D2EA4">
        <w:rPr>
          <w:sz w:val="28"/>
          <w:szCs w:val="28"/>
        </w:rPr>
        <w:t>елает</w:t>
      </w:r>
      <w:r w:rsidRPr="005D2EA4">
        <w:rPr>
          <w:color w:val="000000"/>
          <w:spacing w:val="-1"/>
          <w:sz w:val="28"/>
          <w:szCs w:val="28"/>
        </w:rPr>
        <w:t xml:space="preserve"> все возможное, чтобы власть была максимально приближена к интересам и </w:t>
      </w:r>
      <w:r w:rsidRPr="005D2EA4">
        <w:rPr>
          <w:color w:val="000000"/>
          <w:spacing w:val="-1"/>
          <w:sz w:val="28"/>
          <w:szCs w:val="28"/>
        </w:rPr>
        <w:lastRenderedPageBreak/>
        <w:t xml:space="preserve">проблемам конкретного гражданина, старается </w:t>
      </w:r>
      <w:r>
        <w:rPr>
          <w:sz w:val="28"/>
          <w:szCs w:val="28"/>
        </w:rPr>
        <w:t>укреплять доверие людей</w:t>
      </w:r>
      <w:r w:rsidRPr="00684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D2EA4">
        <w:rPr>
          <w:color w:val="000000"/>
          <w:spacing w:val="-1"/>
          <w:sz w:val="28"/>
          <w:szCs w:val="28"/>
        </w:rPr>
        <w:t>создать комфортные условия проживания для всего насе</w:t>
      </w:r>
      <w:r w:rsidRPr="005D2EA4">
        <w:rPr>
          <w:color w:val="000000"/>
          <w:sz w:val="28"/>
          <w:szCs w:val="28"/>
        </w:rPr>
        <w:t>ления Тамани</w:t>
      </w:r>
      <w:r>
        <w:rPr>
          <w:color w:val="000000"/>
          <w:sz w:val="28"/>
          <w:szCs w:val="28"/>
        </w:rPr>
        <w:t>.</w:t>
      </w:r>
    </w:p>
    <w:p w:rsidR="00775180" w:rsidRDefault="00775180" w:rsidP="00775180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3D637E" w:rsidRDefault="003D637E"/>
    <w:sectPr w:rsidR="003D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11"/>
    <w:rsid w:val="00303F96"/>
    <w:rsid w:val="003D637E"/>
    <w:rsid w:val="00775180"/>
    <w:rsid w:val="00D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180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rsid w:val="0077518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75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"/>
    <w:basedOn w:val="a"/>
    <w:rsid w:val="00775180"/>
    <w:pPr>
      <w:spacing w:after="160" w:line="240" w:lineRule="exact"/>
    </w:pPr>
    <w:rPr>
      <w:sz w:val="20"/>
      <w:szCs w:val="20"/>
    </w:rPr>
  </w:style>
  <w:style w:type="paragraph" w:styleId="a7">
    <w:name w:val="No Spacing"/>
    <w:basedOn w:val="a"/>
    <w:uiPriority w:val="1"/>
    <w:qFormat/>
    <w:rsid w:val="00775180"/>
    <w:rPr>
      <w:rFonts w:ascii="Calibri" w:hAnsi="Calibri"/>
      <w:szCs w:val="32"/>
      <w:lang w:val="en-US" w:eastAsia="en-US" w:bidi="en-US"/>
    </w:rPr>
  </w:style>
  <w:style w:type="paragraph" w:customStyle="1" w:styleId="s34">
    <w:name w:val="s_34"/>
    <w:basedOn w:val="a"/>
    <w:rsid w:val="00775180"/>
    <w:pPr>
      <w:jc w:val="center"/>
    </w:pPr>
    <w:rPr>
      <w:b/>
      <w:bCs/>
      <w:color w:val="00008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751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180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rsid w:val="0077518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75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"/>
    <w:basedOn w:val="a"/>
    <w:rsid w:val="00775180"/>
    <w:pPr>
      <w:spacing w:after="160" w:line="240" w:lineRule="exact"/>
    </w:pPr>
    <w:rPr>
      <w:sz w:val="20"/>
      <w:szCs w:val="20"/>
    </w:rPr>
  </w:style>
  <w:style w:type="paragraph" w:styleId="a7">
    <w:name w:val="No Spacing"/>
    <w:basedOn w:val="a"/>
    <w:uiPriority w:val="1"/>
    <w:qFormat/>
    <w:rsid w:val="00775180"/>
    <w:rPr>
      <w:rFonts w:ascii="Calibri" w:hAnsi="Calibri"/>
      <w:szCs w:val="32"/>
      <w:lang w:val="en-US" w:eastAsia="en-US" w:bidi="en-US"/>
    </w:rPr>
  </w:style>
  <w:style w:type="paragraph" w:customStyle="1" w:styleId="s34">
    <w:name w:val="s_34"/>
    <w:basedOn w:val="a"/>
    <w:rsid w:val="00775180"/>
    <w:pPr>
      <w:jc w:val="center"/>
    </w:pPr>
    <w:rPr>
      <w:b/>
      <w:bCs/>
      <w:color w:val="00008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751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304277754754329E-2"/>
          <c:y val="5.5415617128463476E-2"/>
          <c:w val="0.86842254047173184"/>
          <c:h val="0.7884140679289839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99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99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6084634157572408E-3"/>
                  <c:y val="0.12723140086078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118893033107706E-3"/>
                  <c:y val="9.6867450762609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048349219505455E-3"/>
                  <c:y val="0.1072764896831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677395588709304E-3"/>
                  <c:y val="9.6839419002095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17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Анализ!$A$1:$A$4</c:f>
              <c:strCache>
                <c:ptCount val="4"/>
                <c:pt idx="0">
                  <c:v>12 месяцев 2012 года, письменные обращения</c:v>
                </c:pt>
                <c:pt idx="1">
                  <c:v>12 месяцев 2012 года, устные обращения</c:v>
                </c:pt>
                <c:pt idx="2">
                  <c:v>12 месяцев 2013 года, письменные обращения</c:v>
                </c:pt>
                <c:pt idx="3">
                  <c:v>12 месяцев 2013 года, устные обращения</c:v>
                </c:pt>
              </c:strCache>
            </c:strRef>
          </c:cat>
          <c:val>
            <c:numRef>
              <c:f>Анализ!$B$1:$B$4</c:f>
              <c:numCache>
                <c:formatCode>General</c:formatCode>
                <c:ptCount val="4"/>
                <c:pt idx="0">
                  <c:v>1864</c:v>
                </c:pt>
                <c:pt idx="1">
                  <c:v>1395</c:v>
                </c:pt>
                <c:pt idx="2">
                  <c:v>1533</c:v>
                </c:pt>
                <c:pt idx="3">
                  <c:v>1266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942080"/>
        <c:axId val="64943616"/>
        <c:axId val="0"/>
      </c:bar3DChart>
      <c:catAx>
        <c:axId val="6494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943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94361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942080"/>
        <c:crosses val="autoZero"/>
        <c:crossBetween val="between"/>
      </c:valAx>
      <c:spPr>
        <a:noFill/>
        <a:ln w="2537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117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8051364800004E-2"/>
          <c:y val="5.359497709845093E-2"/>
          <c:w val="0.83126526237584575"/>
          <c:h val="0.77427936262065611"/>
        </c:manualLayout>
      </c:layout>
      <c:lineChart>
        <c:grouping val="standard"/>
        <c:varyColors val="0"/>
        <c:ser>
          <c:idx val="0"/>
          <c:order val="0"/>
          <c:tx>
            <c:strRef>
              <c:f>Динамика!$B$2</c:f>
              <c:strCache>
                <c:ptCount val="1"/>
                <c:pt idx="0">
                  <c:v>121</c:v>
                </c:pt>
              </c:strCache>
            </c:strRef>
          </c:tx>
          <c:spPr>
            <a:ln w="1269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Динамика!$A$15:$A$26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Динамика!$B$2:$B$13</c:f>
              <c:numCache>
                <c:formatCode>General</c:formatCode>
                <c:ptCount val="12"/>
                <c:pt idx="0">
                  <c:v>121</c:v>
                </c:pt>
                <c:pt idx="1">
                  <c:v>144</c:v>
                </c:pt>
                <c:pt idx="2">
                  <c:v>162</c:v>
                </c:pt>
                <c:pt idx="3">
                  <c:v>148</c:v>
                </c:pt>
                <c:pt idx="4">
                  <c:v>237</c:v>
                </c:pt>
                <c:pt idx="5">
                  <c:v>233</c:v>
                </c:pt>
                <c:pt idx="6">
                  <c:v>170</c:v>
                </c:pt>
                <c:pt idx="7">
                  <c:v>172</c:v>
                </c:pt>
                <c:pt idx="8">
                  <c:v>104</c:v>
                </c:pt>
                <c:pt idx="9">
                  <c:v>150</c:v>
                </c:pt>
                <c:pt idx="10">
                  <c:v>159</c:v>
                </c:pt>
                <c:pt idx="11">
                  <c:v>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Динамика!$B$14</c:f>
              <c:strCache>
                <c:ptCount val="1"/>
                <c:pt idx="0">
                  <c:v>2013 год</c:v>
                </c:pt>
              </c:strCache>
            </c:strRef>
          </c:tx>
          <c:spPr>
            <a:ln w="1269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Динамика!$A$15:$A$26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Динамика!$B$15:$B$26</c:f>
              <c:numCache>
                <c:formatCode>General</c:formatCode>
                <c:ptCount val="12"/>
                <c:pt idx="0">
                  <c:v>109</c:v>
                </c:pt>
                <c:pt idx="1">
                  <c:v>144</c:v>
                </c:pt>
                <c:pt idx="2">
                  <c:v>137</c:v>
                </c:pt>
                <c:pt idx="3">
                  <c:v>121</c:v>
                </c:pt>
                <c:pt idx="4">
                  <c:v>151</c:v>
                </c:pt>
                <c:pt idx="5">
                  <c:v>138</c:v>
                </c:pt>
                <c:pt idx="6">
                  <c:v>149</c:v>
                </c:pt>
                <c:pt idx="7">
                  <c:v>129</c:v>
                </c:pt>
                <c:pt idx="8">
                  <c:v>97</c:v>
                </c:pt>
                <c:pt idx="9">
                  <c:v>126</c:v>
                </c:pt>
                <c:pt idx="10">
                  <c:v>102</c:v>
                </c:pt>
                <c:pt idx="11">
                  <c:v>130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014272"/>
        <c:axId val="69016192"/>
      </c:lineChart>
      <c:catAx>
        <c:axId val="6901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01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01619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014272"/>
        <c:crosses val="autoZero"/>
        <c:crossBetween val="between"/>
      </c:valAx>
      <c:spPr>
        <a:noFill/>
        <a:ln w="1269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154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394218089459335"/>
          <c:y val="0.18511066398390341"/>
          <c:w val="0.54281141364238383"/>
          <c:h val="0.6760563380281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CC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chemeClr val="accent6">
                  <a:lumMod val="75000"/>
                </a:schemeClr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9188683805477468E-2"/>
                  <c:y val="-5.14773681458831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619647386242783E-2"/>
                  <c:y val="-8.164261157496147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716908125189426E-2"/>
                  <c:y val="2.74332609832221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329377083866754E-2"/>
                  <c:y val="-3.143691545599108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71642869356143E-2"/>
                  <c:y val="1.887862608723238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26935638291901E-2"/>
                  <c:y val="-7.831133784333288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904360869768882E-2"/>
                  <c:y val="-3.2805758435128457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837725154125201E-2"/>
                  <c:y val="-2.22246867028945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3311072384126457E-4"/>
                  <c:y val="-6.03866770174854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6754226400213703E-2"/>
                  <c:y val="-3.84175921671762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Вопросы!$A$1:$A$10</c:f>
              <c:strCache>
                <c:ptCount val="10"/>
                <c:pt idx="0">
                  <c:v>Коммунальное хозяйство</c:v>
                </c:pt>
                <c:pt idx="1">
                  <c:v>Улучшение жилищных условий</c:v>
                </c:pt>
                <c:pt idx="2">
                  <c:v>Земельные отношения</c:v>
                </c:pt>
                <c:pt idx="3">
                  <c:v>Социальные вопросы</c:v>
                </c:pt>
                <c:pt idx="4">
                  <c:v>Образование</c:v>
                </c:pt>
                <c:pt idx="5">
                  <c:v>Транспорт</c:v>
                </c:pt>
                <c:pt idx="6">
                  <c:v>Торговля</c:v>
                </c:pt>
                <c:pt idx="7">
                  <c:v>Строительство и архитектура</c:v>
                </c:pt>
                <c:pt idx="8">
                  <c:v>Благоустройство поселений</c:v>
                </c:pt>
                <c:pt idx="9">
                  <c:v>Курорты и туризм</c:v>
                </c:pt>
              </c:strCache>
            </c:strRef>
          </c:cat>
          <c:val>
            <c:numRef>
              <c:f>Вопросы!$B$1:$B$10</c:f>
              <c:numCache>
                <c:formatCode>General</c:formatCode>
                <c:ptCount val="10"/>
                <c:pt idx="0">
                  <c:v>774</c:v>
                </c:pt>
                <c:pt idx="1">
                  <c:v>306</c:v>
                </c:pt>
                <c:pt idx="2">
                  <c:v>277</c:v>
                </c:pt>
                <c:pt idx="3">
                  <c:v>179</c:v>
                </c:pt>
                <c:pt idx="4">
                  <c:v>53</c:v>
                </c:pt>
                <c:pt idx="5">
                  <c:v>115</c:v>
                </c:pt>
                <c:pt idx="6">
                  <c:v>72</c:v>
                </c:pt>
                <c:pt idx="7">
                  <c:v>134</c:v>
                </c:pt>
                <c:pt idx="8">
                  <c:v>288</c:v>
                </c:pt>
                <c:pt idx="9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2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238733252131547"/>
          <c:y val="0.14173241969543909"/>
          <c:w val="0.64311814859926919"/>
          <c:h val="0.7913393432995349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'[12 месяцев 2013.xls]Поселения'!$A$1:$A$12</c:f>
              <c:strCache>
                <c:ptCount val="12"/>
                <c:pt idx="0">
                  <c:v>Вышестеблиевское с/п</c:v>
                </c:pt>
                <c:pt idx="1">
                  <c:v>Новотаманское с/п</c:v>
                </c:pt>
                <c:pt idx="2">
                  <c:v>Фонталовское с/п</c:v>
                </c:pt>
                <c:pt idx="3">
                  <c:v>Старотитаровское с/п</c:v>
                </c:pt>
                <c:pt idx="4">
                  <c:v>Сенное с/п</c:v>
                </c:pt>
                <c:pt idx="5">
                  <c:v>Голубицкое с/п</c:v>
                </c:pt>
                <c:pt idx="6">
                  <c:v>Запорожское с/п</c:v>
                </c:pt>
                <c:pt idx="7">
                  <c:v>Курчанское с/п</c:v>
                </c:pt>
                <c:pt idx="8">
                  <c:v>Ахтанизовское с/п</c:v>
                </c:pt>
                <c:pt idx="9">
                  <c:v>Краснострельское с/п</c:v>
                </c:pt>
                <c:pt idx="10">
                  <c:v>Таманское с/п</c:v>
                </c:pt>
                <c:pt idx="11">
                  <c:v>Темрюкское г/п</c:v>
                </c:pt>
              </c:strCache>
            </c:strRef>
          </c:cat>
          <c:val>
            <c:numRef>
              <c:f>'[12 месяцев 2013.xls]Поселения'!$B$1:$B$12</c:f>
              <c:numCache>
                <c:formatCode>General</c:formatCode>
                <c:ptCount val="12"/>
                <c:pt idx="0">
                  <c:v>38</c:v>
                </c:pt>
                <c:pt idx="1">
                  <c:v>51</c:v>
                </c:pt>
                <c:pt idx="2">
                  <c:v>54</c:v>
                </c:pt>
                <c:pt idx="3">
                  <c:v>65</c:v>
                </c:pt>
                <c:pt idx="4">
                  <c:v>65</c:v>
                </c:pt>
                <c:pt idx="5">
                  <c:v>69</c:v>
                </c:pt>
                <c:pt idx="6">
                  <c:v>92</c:v>
                </c:pt>
                <c:pt idx="7">
                  <c:v>79</c:v>
                </c:pt>
                <c:pt idx="8">
                  <c:v>88</c:v>
                </c:pt>
                <c:pt idx="9">
                  <c:v>94</c:v>
                </c:pt>
                <c:pt idx="10">
                  <c:v>188</c:v>
                </c:pt>
                <c:pt idx="11">
                  <c:v>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96832"/>
        <c:axId val="69083520"/>
      </c:barChart>
      <c:catAx>
        <c:axId val="69896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083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08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89683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7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0.70641</cdr:x>
      <cdr:y>0.11435</cdr:y>
    </cdr:from>
    <cdr:to>
      <cdr:x>0.83494</cdr:x>
      <cdr:y>0.17916</cdr:y>
    </cdr:to>
    <cdr:sp macro="" textlink="">
      <cdr:nvSpPr>
        <cdr:cNvPr id="1228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61930" y="499919"/>
          <a:ext cx="830040" cy="2833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2012 год</a:t>
          </a:r>
          <a:endParaRPr lang="ru-RU"/>
        </a:p>
      </cdr:txBody>
    </cdr:sp>
  </cdr:relSizeAnchor>
  <cdr:relSizeAnchor xmlns:cdr="http://schemas.openxmlformats.org/drawingml/2006/chartDrawing">
    <cdr:from>
      <cdr:x>0.66774</cdr:x>
      <cdr:y>0.61587</cdr:y>
    </cdr:from>
    <cdr:to>
      <cdr:x>0.79988</cdr:x>
      <cdr:y>0.67385</cdr:y>
    </cdr:to>
    <cdr:sp macro="" textlink="">
      <cdr:nvSpPr>
        <cdr:cNvPr id="1229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60275" y="3220499"/>
          <a:ext cx="902440" cy="3031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2013 год</a:t>
          </a:r>
          <a:endParaRPr lang="ru-RU"/>
        </a:p>
      </cdr:txBody>
    </cdr:sp>
  </cdr:relSizeAnchor>
  <cdr:relSizeAnchor xmlns:cdr="http://schemas.openxmlformats.org/drawingml/2006/chartDrawing">
    <cdr:from>
      <cdr:x>0.07902</cdr:x>
      <cdr:y>0.39665</cdr:y>
    </cdr:from>
    <cdr:to>
      <cdr:x>0.1407</cdr:x>
      <cdr:y>0.46244</cdr:y>
    </cdr:to>
    <cdr:sp macro="" textlink="">
      <cdr:nvSpPr>
        <cdr:cNvPr id="1229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1883" y="2074183"/>
          <a:ext cx="532276" cy="3440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121</a:t>
          </a:r>
          <a:endParaRPr lang="ru-RU"/>
        </a:p>
      </cdr:txBody>
    </cdr:sp>
  </cdr:relSizeAnchor>
  <cdr:relSizeAnchor xmlns:cdr="http://schemas.openxmlformats.org/drawingml/2006/chartDrawing">
    <cdr:from>
      <cdr:x>0.0848</cdr:x>
      <cdr:y>0.49922</cdr:y>
    </cdr:from>
    <cdr:to>
      <cdr:x>0.14623</cdr:x>
      <cdr:y>0.56428</cdr:y>
    </cdr:to>
    <cdr:sp macro="" textlink="">
      <cdr:nvSpPr>
        <cdr:cNvPr id="1229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1794" y="2610542"/>
          <a:ext cx="530120" cy="3402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109</a:t>
          </a:r>
          <a:endParaRPr lang="ru-RU"/>
        </a:p>
      </cdr:txBody>
    </cdr:sp>
  </cdr:relSizeAnchor>
  <cdr:relSizeAnchor xmlns:cdr="http://schemas.openxmlformats.org/drawingml/2006/chartDrawing">
    <cdr:from>
      <cdr:x>0.15101</cdr:x>
      <cdr:y>0.32192</cdr:y>
    </cdr:from>
    <cdr:to>
      <cdr:x>0.21343</cdr:x>
      <cdr:y>0.38771</cdr:y>
    </cdr:to>
    <cdr:sp macro="" textlink="">
      <cdr:nvSpPr>
        <cdr:cNvPr id="1229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1292" y="1683405"/>
          <a:ext cx="426293" cy="3440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144</a:t>
          </a:r>
          <a:endParaRPr lang="ru-RU"/>
        </a:p>
      </cdr:txBody>
    </cdr:sp>
  </cdr:relSizeAnchor>
  <cdr:relSizeAnchor xmlns:cdr="http://schemas.openxmlformats.org/drawingml/2006/chartDrawing">
    <cdr:from>
      <cdr:x>0.22431</cdr:x>
      <cdr:y>0.40194</cdr:y>
    </cdr:from>
    <cdr:to>
      <cdr:x>0.28673</cdr:x>
      <cdr:y>0.46773</cdr:y>
    </cdr:to>
    <cdr:sp macro="" textlink="">
      <cdr:nvSpPr>
        <cdr:cNvPr id="1229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1929" y="2101838"/>
          <a:ext cx="426293" cy="3440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137</a:t>
          </a:r>
          <a:endParaRPr lang="ru-RU"/>
        </a:p>
      </cdr:txBody>
    </cdr:sp>
  </cdr:relSizeAnchor>
  <cdr:relSizeAnchor xmlns:cdr="http://schemas.openxmlformats.org/drawingml/2006/chartDrawing">
    <cdr:from>
      <cdr:x>0.22156</cdr:x>
      <cdr:y>0.26747</cdr:y>
    </cdr:from>
    <cdr:to>
      <cdr:x>0.28398</cdr:x>
      <cdr:y>0.33228</cdr:y>
    </cdr:to>
    <cdr:sp macro="" textlink="">
      <cdr:nvSpPr>
        <cdr:cNvPr id="1229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13148" y="1398674"/>
          <a:ext cx="426293" cy="3389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162</a:t>
          </a:r>
          <a:endParaRPr lang="ru-RU"/>
        </a:p>
      </cdr:txBody>
    </cdr:sp>
  </cdr:relSizeAnchor>
  <cdr:relSizeAnchor xmlns:cdr="http://schemas.openxmlformats.org/drawingml/2006/chartDrawing">
    <cdr:from>
      <cdr:x>0.28594</cdr:x>
      <cdr:y>0.44384</cdr:y>
    </cdr:from>
    <cdr:to>
      <cdr:x>0.3491</cdr:x>
      <cdr:y>0.50865</cdr:y>
    </cdr:to>
    <cdr:sp macro="" textlink="">
      <cdr:nvSpPr>
        <cdr:cNvPr id="12296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52817" y="2320945"/>
          <a:ext cx="431347" cy="3389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121</a:t>
          </a:r>
          <a:endParaRPr lang="ru-RU"/>
        </a:p>
      </cdr:txBody>
    </cdr:sp>
  </cdr:relSizeAnchor>
  <cdr:relSizeAnchor xmlns:cdr="http://schemas.openxmlformats.org/drawingml/2006/chartDrawing">
    <cdr:from>
      <cdr:x>0.36493</cdr:x>
      <cdr:y>0.35311</cdr:y>
    </cdr:from>
    <cdr:to>
      <cdr:x>0.42636</cdr:x>
      <cdr:y>0.41792</cdr:y>
    </cdr:to>
    <cdr:sp macro="" textlink="">
      <cdr:nvSpPr>
        <cdr:cNvPr id="12297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92295" y="1846469"/>
          <a:ext cx="419531" cy="3389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151</a:t>
          </a:r>
          <a:endParaRPr lang="ru-RU"/>
        </a:p>
      </cdr:txBody>
    </cdr:sp>
  </cdr:relSizeAnchor>
  <cdr:relSizeAnchor xmlns:cdr="http://schemas.openxmlformats.org/drawingml/2006/chartDrawing">
    <cdr:from>
      <cdr:x>0.28146</cdr:x>
      <cdr:y>0.30274</cdr:y>
    </cdr:from>
    <cdr:to>
      <cdr:x>0.34388</cdr:x>
      <cdr:y>0.36853</cdr:y>
    </cdr:to>
    <cdr:sp macro="" textlink="">
      <cdr:nvSpPr>
        <cdr:cNvPr id="1229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22210" y="1583099"/>
          <a:ext cx="426293" cy="3440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148</a:t>
          </a:r>
          <a:endParaRPr lang="ru-RU"/>
        </a:p>
      </cdr:txBody>
    </cdr:sp>
  </cdr:relSizeAnchor>
  <cdr:relSizeAnchor xmlns:cdr="http://schemas.openxmlformats.org/drawingml/2006/chartDrawing">
    <cdr:from>
      <cdr:x>0.3647</cdr:x>
      <cdr:y>0.0356</cdr:y>
    </cdr:from>
    <cdr:to>
      <cdr:x>0.42712</cdr:x>
      <cdr:y>0.10139</cdr:y>
    </cdr:to>
    <cdr:sp macro="" textlink="">
      <cdr:nvSpPr>
        <cdr:cNvPr id="12299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90707" y="186166"/>
          <a:ext cx="426293" cy="3440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237</a:t>
          </a:r>
          <a:endParaRPr lang="ru-RU"/>
        </a:p>
      </cdr:txBody>
    </cdr:sp>
  </cdr:relSizeAnchor>
  <cdr:relSizeAnchor xmlns:cdr="http://schemas.openxmlformats.org/drawingml/2006/chartDrawing">
    <cdr:from>
      <cdr:x>0.4303</cdr:x>
      <cdr:y>0.40528</cdr:y>
    </cdr:from>
    <cdr:to>
      <cdr:x>0.4937</cdr:x>
      <cdr:y>0.47107</cdr:y>
    </cdr:to>
    <cdr:sp macro="" textlink="">
      <cdr:nvSpPr>
        <cdr:cNvPr id="12300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38677" y="2119288"/>
          <a:ext cx="432984" cy="3440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138</a:t>
          </a:r>
          <a:endParaRPr lang="ru-RU"/>
        </a:p>
      </cdr:txBody>
    </cdr:sp>
  </cdr:relSizeAnchor>
  <cdr:relSizeAnchor xmlns:cdr="http://schemas.openxmlformats.org/drawingml/2006/chartDrawing">
    <cdr:from>
      <cdr:x>0.44164</cdr:x>
      <cdr:y>0.0477</cdr:y>
    </cdr:from>
    <cdr:to>
      <cdr:x>0.50332</cdr:x>
      <cdr:y>0.11275</cdr:y>
    </cdr:to>
    <cdr:sp macro="" textlink="">
      <cdr:nvSpPr>
        <cdr:cNvPr id="12301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16180" y="249426"/>
          <a:ext cx="421239" cy="3401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233</a:t>
          </a:r>
          <a:endParaRPr lang="ru-RU"/>
        </a:p>
      </cdr:txBody>
    </cdr:sp>
  </cdr:relSizeAnchor>
  <cdr:relSizeAnchor xmlns:cdr="http://schemas.openxmlformats.org/drawingml/2006/chartDrawing">
    <cdr:from>
      <cdr:x>0.50098</cdr:x>
      <cdr:y>0.25042</cdr:y>
    </cdr:from>
    <cdr:to>
      <cdr:x>0.58048</cdr:x>
      <cdr:y>0.31904</cdr:y>
    </cdr:to>
    <cdr:sp macro="" textlink="">
      <cdr:nvSpPr>
        <cdr:cNvPr id="15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21401" y="1309477"/>
          <a:ext cx="542940" cy="3588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>
              <a:latin typeface="Arial" pitchFamily="34" charset="0"/>
              <a:cs typeface="Arial" pitchFamily="34" charset="0"/>
            </a:rPr>
            <a:t>170</a:t>
          </a:r>
        </a:p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0.57393</cdr:x>
      <cdr:y>0.24285</cdr:y>
    </cdr:from>
    <cdr:to>
      <cdr:x>0.65343</cdr:x>
      <cdr:y>0.31932</cdr:y>
    </cdr:to>
    <cdr:sp macro="" textlink="">
      <cdr:nvSpPr>
        <cdr:cNvPr id="17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19625" y="1269928"/>
          <a:ext cx="542939" cy="3998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>
              <a:latin typeface="Arial" pitchFamily="34" charset="0"/>
              <a:cs typeface="Arial" pitchFamily="34" charset="0"/>
            </a:rPr>
            <a:t>172</a:t>
          </a:r>
        </a:p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0.63296</cdr:x>
      <cdr:y>0.42573</cdr:y>
    </cdr:from>
    <cdr:to>
      <cdr:x>0.71246</cdr:x>
      <cdr:y>0.49102</cdr:y>
    </cdr:to>
    <cdr:sp macro="" textlink="">
      <cdr:nvSpPr>
        <cdr:cNvPr id="1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22778" y="2226239"/>
          <a:ext cx="542940" cy="3414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>
              <a:latin typeface="Arial" pitchFamily="34" charset="0"/>
              <a:cs typeface="Arial" pitchFamily="34" charset="0"/>
            </a:rPr>
            <a:t>104</a:t>
          </a:r>
        </a:p>
      </cdr:txBody>
    </cdr:sp>
  </cdr:relSizeAnchor>
  <cdr:relSizeAnchor xmlns:cdr="http://schemas.openxmlformats.org/drawingml/2006/chartDrawing">
    <cdr:from>
      <cdr:x>0.49472</cdr:x>
      <cdr:y>0.34635</cdr:y>
    </cdr:from>
    <cdr:to>
      <cdr:x>0.57422</cdr:x>
      <cdr:y>0.45298</cdr:y>
    </cdr:to>
    <cdr:sp macro="" textlink="">
      <cdr:nvSpPr>
        <cdr:cNvPr id="19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78645" y="1811116"/>
          <a:ext cx="542939" cy="5575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endParaRPr lang="ru-RU"/>
        </a:p>
        <a:p xmlns:a="http://schemas.openxmlformats.org/drawingml/2006/main">
          <a:pPr algn="ctr" rtl="0">
            <a:defRPr sz="1000"/>
          </a:pPr>
          <a:r>
            <a:rPr lang="ru-RU">
              <a:latin typeface="Arial" pitchFamily="34" charset="0"/>
              <a:cs typeface="Arial" pitchFamily="34" charset="0"/>
            </a:rPr>
            <a:t>149</a:t>
          </a:r>
        </a:p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0.55467</cdr:x>
      <cdr:y>0.40594</cdr:y>
    </cdr:from>
    <cdr:to>
      <cdr:x>0.63417</cdr:x>
      <cdr:y>0.51257</cdr:y>
    </cdr:to>
    <cdr:sp macro="" textlink="">
      <cdr:nvSpPr>
        <cdr:cNvPr id="20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88059" y="2122747"/>
          <a:ext cx="542940" cy="5575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>
              <a:latin typeface="Arial" pitchFamily="34" charset="0"/>
              <a:cs typeface="Arial" pitchFamily="34" charset="0"/>
            </a:rPr>
            <a:t>129</a:t>
          </a:r>
        </a:p>
      </cdr:txBody>
    </cdr:sp>
  </cdr:relSizeAnchor>
  <cdr:relSizeAnchor xmlns:cdr="http://schemas.openxmlformats.org/drawingml/2006/chartDrawing">
    <cdr:from>
      <cdr:x>0.62854</cdr:x>
      <cdr:y>0.50399</cdr:y>
    </cdr:from>
    <cdr:to>
      <cdr:x>0.70804</cdr:x>
      <cdr:y>0.61062</cdr:y>
    </cdr:to>
    <cdr:sp macro="" textlink="">
      <cdr:nvSpPr>
        <cdr:cNvPr id="21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92557" y="2635491"/>
          <a:ext cx="542940" cy="5575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>
              <a:latin typeface="Arial" pitchFamily="34" charset="0"/>
              <a:cs typeface="Arial" pitchFamily="34" charset="0"/>
            </a:rPr>
            <a:t>97</a:t>
          </a:r>
        </a:p>
      </cdr:txBody>
    </cdr:sp>
  </cdr:relSizeAnchor>
  <cdr:relSizeAnchor xmlns:cdr="http://schemas.openxmlformats.org/drawingml/2006/chartDrawing">
    <cdr:from>
      <cdr:x>0.78835</cdr:x>
      <cdr:y>0.34118</cdr:y>
    </cdr:from>
    <cdr:to>
      <cdr:x>0.8645</cdr:x>
      <cdr:y>0.41373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05601" y="1657350"/>
          <a:ext cx="64770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0.70402</cdr:x>
      <cdr:y>0.31092</cdr:y>
    </cdr:from>
    <cdr:to>
      <cdr:x>0.76561</cdr:x>
      <cdr:y>0.38543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808069" y="1625860"/>
          <a:ext cx="420625" cy="3896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Arial" pitchFamily="34" charset="0"/>
              <a:cs typeface="Arial" pitchFamily="34" charset="0"/>
            </a:rPr>
            <a:t>150</a:t>
          </a:r>
        </a:p>
      </cdr:txBody>
    </cdr:sp>
  </cdr:relSizeAnchor>
  <cdr:relSizeAnchor xmlns:cdr="http://schemas.openxmlformats.org/drawingml/2006/chartDrawing">
    <cdr:from>
      <cdr:x>0.77851</cdr:x>
      <cdr:y>0.28151</cdr:y>
    </cdr:from>
    <cdr:to>
      <cdr:x>0.83899</cdr:x>
      <cdr:y>0.34818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316806" y="1472069"/>
          <a:ext cx="413043" cy="3486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Arial" pitchFamily="34" charset="0"/>
              <a:cs typeface="Arial" pitchFamily="34" charset="0"/>
            </a:rPr>
            <a:t>159</a:t>
          </a:r>
        </a:p>
      </cdr:txBody>
    </cdr:sp>
  </cdr:relSizeAnchor>
  <cdr:relSizeAnchor xmlns:cdr="http://schemas.openxmlformats.org/drawingml/2006/chartDrawing">
    <cdr:from>
      <cdr:x>0.86425</cdr:x>
      <cdr:y>0.58595</cdr:y>
    </cdr:from>
    <cdr:to>
      <cdr:x>0.92024</cdr:x>
      <cdr:y>0.65066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902297" y="3064061"/>
          <a:ext cx="382379" cy="338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Arial" pitchFamily="34" charset="0"/>
              <a:cs typeface="Arial" pitchFamily="34" charset="0"/>
            </a:rPr>
            <a:t>64</a:t>
          </a:r>
        </a:p>
      </cdr:txBody>
    </cdr:sp>
  </cdr:relSizeAnchor>
  <cdr:relSizeAnchor xmlns:cdr="http://schemas.openxmlformats.org/drawingml/2006/chartDrawing">
    <cdr:from>
      <cdr:x>0.71554</cdr:x>
      <cdr:y>0.44606</cdr:y>
    </cdr:from>
    <cdr:to>
      <cdr:x>0.77041</cdr:x>
      <cdr:y>0.50881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886734" y="2332541"/>
          <a:ext cx="374731" cy="328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Arial" pitchFamily="34" charset="0"/>
              <a:cs typeface="Arial" pitchFamily="34" charset="0"/>
            </a:rPr>
            <a:t>126</a:t>
          </a:r>
        </a:p>
      </cdr:txBody>
    </cdr:sp>
  </cdr:relSizeAnchor>
  <cdr:relSizeAnchor xmlns:cdr="http://schemas.openxmlformats.org/drawingml/2006/chartDrawing">
    <cdr:from>
      <cdr:x>0.77726</cdr:x>
      <cdr:y>0.52071</cdr:y>
    </cdr:from>
    <cdr:to>
      <cdr:x>0.82766</cdr:x>
      <cdr:y>0.57366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5308246" y="2722895"/>
          <a:ext cx="344202" cy="2768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Arial" pitchFamily="34" charset="0"/>
              <a:cs typeface="Arial" pitchFamily="34" charset="0"/>
            </a:rPr>
            <a:t>102</a:t>
          </a:r>
        </a:p>
      </cdr:txBody>
    </cdr:sp>
  </cdr:relSizeAnchor>
  <cdr:relSizeAnchor xmlns:cdr="http://schemas.openxmlformats.org/drawingml/2006/chartDrawing">
    <cdr:from>
      <cdr:x>0.84133</cdr:x>
      <cdr:y>0.37212</cdr:y>
    </cdr:from>
    <cdr:to>
      <cdr:x>0.90516</cdr:x>
      <cdr:y>0.44859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5745812" y="1945918"/>
          <a:ext cx="435923" cy="3998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Arial" pitchFamily="34" charset="0"/>
              <a:cs typeface="Arial" pitchFamily="34" charset="0"/>
            </a:rPr>
            <a:t>130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0.62987</cdr:x>
      <cdr:y>0.31431</cdr:y>
    </cdr:from>
    <cdr:to>
      <cdr:x>0.70883</cdr:x>
      <cdr:y>0.42014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22878" y="1494066"/>
          <a:ext cx="466273" cy="5020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/>
            <a:t>50,5%</a:t>
          </a:r>
        </a:p>
      </cdr:txBody>
    </cdr:sp>
  </cdr:relSizeAnchor>
  <cdr:relSizeAnchor xmlns:cdr="http://schemas.openxmlformats.org/drawingml/2006/chartDrawing">
    <cdr:from>
      <cdr:x>0.50025</cdr:x>
      <cdr:y>0.50122</cdr:y>
    </cdr:from>
    <cdr:to>
      <cdr:x>0.56198</cdr:x>
      <cdr:y>0.54361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378" y="2380710"/>
          <a:ext cx="364593" cy="2010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12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0.561</cdr:x>
      <cdr:y>0.69476</cdr:y>
    </cdr:from>
    <cdr:to>
      <cdr:x>0.67267</cdr:x>
      <cdr:y>0.77707</cdr:y>
    </cdr:to>
    <cdr:sp macro="" textlink="">
      <cdr:nvSpPr>
        <cdr:cNvPr id="307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16161" y="3298730"/>
          <a:ext cx="659463" cy="3904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/>
            <a:t>20%</a:t>
          </a:r>
        </a:p>
      </cdr:txBody>
    </cdr:sp>
  </cdr:relSizeAnchor>
  <cdr:relSizeAnchor xmlns:cdr="http://schemas.openxmlformats.org/drawingml/2006/chartDrawing">
    <cdr:from>
      <cdr:x>0.42581</cdr:x>
      <cdr:y>0.74504</cdr:y>
    </cdr:from>
    <cdr:to>
      <cdr:x>0.4996</cdr:x>
      <cdr:y>0.83765</cdr:y>
    </cdr:to>
    <cdr:sp macro="" textlink="">
      <cdr:nvSpPr>
        <cdr:cNvPr id="3076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0575" y="3526970"/>
          <a:ext cx="435064" cy="4384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/>
            <a:t>18,1%</a:t>
          </a:r>
        </a:p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0.3094</cdr:x>
      <cdr:y>0.66253</cdr:y>
    </cdr:from>
    <cdr:to>
      <cdr:x>0.37827</cdr:x>
      <cdr:y>0.76444</cdr:y>
    </cdr:to>
    <cdr:sp macro="" textlink="">
      <cdr:nvSpPr>
        <cdr:cNvPr id="3077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4204" y="3136379"/>
          <a:ext cx="406056" cy="4824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/>
            <a:t>11,7%</a:t>
          </a:r>
        </a:p>
      </cdr:txBody>
    </cdr:sp>
  </cdr:relSizeAnchor>
  <cdr:relSizeAnchor xmlns:cdr="http://schemas.openxmlformats.org/drawingml/2006/chartDrawing">
    <cdr:from>
      <cdr:x>0.27215</cdr:x>
      <cdr:y>0.59672</cdr:y>
    </cdr:from>
    <cdr:to>
      <cdr:x>0.33709</cdr:x>
      <cdr:y>0.67487</cdr:y>
    </cdr:to>
    <cdr:sp macro="" textlink="">
      <cdr:nvSpPr>
        <cdr:cNvPr id="3078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04610" y="2824844"/>
          <a:ext cx="382885" cy="3699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/>
            <a:t>3,5%</a:t>
          </a:r>
        </a:p>
      </cdr:txBody>
    </cdr:sp>
  </cdr:relSizeAnchor>
  <cdr:relSizeAnchor xmlns:cdr="http://schemas.openxmlformats.org/drawingml/2006/chartDrawing">
    <cdr:from>
      <cdr:x>0.24834</cdr:x>
      <cdr:y>0.54393</cdr:y>
    </cdr:from>
    <cdr:to>
      <cdr:x>0.34968</cdr:x>
      <cdr:y>0.59391</cdr:y>
    </cdr:to>
    <cdr:sp macro="" textlink="">
      <cdr:nvSpPr>
        <cdr:cNvPr id="3079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4200" y="2574932"/>
          <a:ext cx="597499" cy="2366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/>
            <a:t>7,5%</a:t>
          </a:r>
        </a:p>
      </cdr:txBody>
    </cdr:sp>
  </cdr:relSizeAnchor>
  <cdr:relSizeAnchor xmlns:cdr="http://schemas.openxmlformats.org/drawingml/2006/chartDrawing">
    <cdr:from>
      <cdr:x>0.24639</cdr:x>
      <cdr:y>0.45995</cdr:y>
    </cdr:from>
    <cdr:to>
      <cdr:x>0.31624</cdr:x>
      <cdr:y>0.55524</cdr:y>
    </cdr:to>
    <cdr:sp macro="" textlink="">
      <cdr:nvSpPr>
        <cdr:cNvPr id="3080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52729" y="2177378"/>
          <a:ext cx="411834" cy="4510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/>
            <a:t>4,7%</a:t>
          </a:r>
        </a:p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0.27562</cdr:x>
      <cdr:y>0.3939</cdr:y>
    </cdr:from>
    <cdr:to>
      <cdr:x>0.34818</cdr:x>
      <cdr:y>0.45343</cdr:y>
    </cdr:to>
    <cdr:sp macro="" textlink="">
      <cdr:nvSpPr>
        <cdr:cNvPr id="3081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25054" y="1864673"/>
          <a:ext cx="427812" cy="2818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/>
            <a:t>8,7%</a:t>
          </a:r>
        </a:p>
      </cdr:txBody>
    </cdr:sp>
  </cdr:relSizeAnchor>
  <cdr:relSizeAnchor xmlns:cdr="http://schemas.openxmlformats.org/drawingml/2006/chartDrawing">
    <cdr:from>
      <cdr:x>0.34693</cdr:x>
      <cdr:y>0.24798</cdr:y>
    </cdr:from>
    <cdr:to>
      <cdr:x>0.43401</cdr:x>
      <cdr:y>0.34646</cdr:y>
    </cdr:to>
    <cdr:sp macro="" textlink="">
      <cdr:nvSpPr>
        <cdr:cNvPr id="3082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45515" y="1173926"/>
          <a:ext cx="513421" cy="4661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/>
            <a:t>18,8%</a:t>
          </a:r>
        </a:p>
      </cdr:txBody>
    </cdr:sp>
  </cdr:relSizeAnchor>
  <cdr:relSizeAnchor xmlns:cdr="http://schemas.openxmlformats.org/drawingml/2006/chartDrawing">
    <cdr:from>
      <cdr:x>0.25157</cdr:x>
      <cdr:y>0.43582</cdr:y>
    </cdr:from>
    <cdr:to>
      <cdr:x>0.34037</cdr:x>
      <cdr:y>0.48016</cdr:y>
    </cdr:to>
    <cdr:sp macro="" textlink="">
      <cdr:nvSpPr>
        <cdr:cNvPr id="3083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88837" y="2070443"/>
          <a:ext cx="524375" cy="2103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0.44965</cdr:x>
      <cdr:y>0.17975</cdr:y>
    </cdr:from>
    <cdr:to>
      <cdr:x>0.53673</cdr:x>
      <cdr:y>0.27823</cdr:y>
    </cdr:to>
    <cdr:sp macro="" textlink="">
      <cdr:nvSpPr>
        <cdr:cNvPr id="1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51131" y="850923"/>
          <a:ext cx="513422" cy="4661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/>
            <a:t>5,2%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Dimitrenko Ludmila Yakovlevna</dc:creator>
  <cp:lastModifiedBy>Chaidakova</cp:lastModifiedBy>
  <cp:revision>4</cp:revision>
  <dcterms:created xsi:type="dcterms:W3CDTF">2014-03-12T06:45:00Z</dcterms:created>
  <dcterms:modified xsi:type="dcterms:W3CDTF">2014-03-12T09:37:00Z</dcterms:modified>
</cp:coreProperties>
</file>