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AD" w:rsidRDefault="001B65AD" w:rsidP="001B65A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состоянии</w:t>
      </w:r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подростковой преступности и работе по предупреждению безнадзорности и правонарушений несовершеннолетних </w:t>
      </w:r>
    </w:p>
    <w:p w:rsidR="001B65AD" w:rsidRDefault="001B65AD" w:rsidP="001B65A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Темрюкского района за  текущий период 2014 года</w:t>
      </w:r>
    </w:p>
    <w:p w:rsidR="001B65AD" w:rsidRDefault="001B65AD" w:rsidP="001B65AD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65AD" w:rsidRDefault="001B65AD" w:rsidP="001B65A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противоправным деяниям с участием подростков за  2014 год   расследовано и направлено в суд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(АППГ- 50, - 44 %)  уголовных дел,  возбужденных в отношении несовершеннолетних,  в том числе: </w:t>
      </w:r>
    </w:p>
    <w:p w:rsidR="001B65AD" w:rsidRDefault="001B65AD" w:rsidP="001B65A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–  особо тяжкое (АППГ – 1); </w:t>
      </w:r>
    </w:p>
    <w:p w:rsidR="001B65AD" w:rsidRDefault="001B65AD" w:rsidP="001B65A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– тяжких  (АППГ - 5), </w:t>
      </w:r>
    </w:p>
    <w:p w:rsidR="001B65AD" w:rsidRDefault="001B65AD" w:rsidP="001B65A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  - средней тяжести (АППГ - 26) </w:t>
      </w:r>
    </w:p>
    <w:p w:rsidR="001B65AD" w:rsidRDefault="001B65AD" w:rsidP="001B65A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 – небольшой тяжести (АППГ – 18).</w:t>
      </w:r>
    </w:p>
    <w:p w:rsidR="001B65AD" w:rsidRDefault="001B65AD" w:rsidP="001B65A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Совершения несовершеннолетними на территории района особо тяжких преступлений не допущено.</w:t>
      </w:r>
    </w:p>
    <w:p w:rsidR="001B65AD" w:rsidRDefault="001B65AD" w:rsidP="001B65A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всех совершенных преступлений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  4  -  совершены в 2013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(по ч. 3 ст. 158 (кража)  - 2 преступления; по ч. 2 ст. 158  - 2).</w:t>
      </w:r>
    </w:p>
    <w:p w:rsidR="001B65AD" w:rsidRDefault="001B65AD" w:rsidP="001B65A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преступления совершены жителями, проживающими за пределами Темрюкского района (ч. 1 ст. 115 – умышленное причинение легкого вреда здоровью (драка); ч. 3 ст. 158 – кража).</w:t>
      </w:r>
    </w:p>
    <w:p w:rsidR="001B65AD" w:rsidRDefault="001B65AD" w:rsidP="001B65A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 преступления  совершили н/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проживающие и обучающиеся в настоящее время за пределами нашего района (2 - ч. 2 ст. 158 (кража);  1 – ч. 1 ст. 166 (завладение автомобилем); 1 – нанесение е телесных повреждений).</w:t>
      </w:r>
    </w:p>
    <w:p w:rsidR="001B65AD" w:rsidRDefault="001B65AD" w:rsidP="001B65A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Удельный вес подростковой преступности  в числе всех расследованных снизился на 2,92 % по сравнению с АППГ и составил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3,52%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краевом показателе 3,81%.</w:t>
      </w:r>
    </w:p>
    <w:p w:rsidR="001B65AD" w:rsidRDefault="001B65AD" w:rsidP="001B65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совершении преступлений изобличено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32 подростка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(АППГ - 58).</w:t>
      </w:r>
    </w:p>
    <w:p w:rsidR="001B65AD" w:rsidRDefault="001B65AD" w:rsidP="001B65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 32 совершивших преступления подростков:</w:t>
      </w:r>
    </w:p>
    <w:p w:rsidR="001B65AD" w:rsidRDefault="001B65AD" w:rsidP="001B65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учащиеся школ</w:t>
      </w:r>
      <w:r>
        <w:rPr>
          <w:rFonts w:ascii="Times New Roman" w:hAnsi="Times New Roman"/>
          <w:sz w:val="28"/>
          <w:szCs w:val="28"/>
        </w:rPr>
        <w:t xml:space="preserve"> (69 % от общего количество подростков, совершивших преступления);</w:t>
      </w:r>
    </w:p>
    <w:p w:rsidR="001B65AD" w:rsidRDefault="001B65AD" w:rsidP="001B65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 - учащиеся ПУ 65;</w:t>
      </w:r>
    </w:p>
    <w:p w:rsidR="001B65AD" w:rsidRDefault="001B65AD" w:rsidP="001B65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учащихся ПУ, техникумов, ВУЗов, находящихся за пределами района.</w:t>
      </w:r>
    </w:p>
    <w:p w:rsidR="001B65AD" w:rsidRDefault="001B65AD" w:rsidP="001B65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 состоянию на  30 декабря 2014 года 5  граждан совершеннолетние;</w:t>
      </w:r>
    </w:p>
    <w:p w:rsidR="001B65AD" w:rsidRDefault="001B65AD" w:rsidP="001B65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жители не нашего района;  1 – </w:t>
      </w:r>
      <w:proofErr w:type="gramStart"/>
      <w:r>
        <w:rPr>
          <w:rFonts w:ascii="Times New Roman" w:hAnsi="Times New Roman"/>
          <w:sz w:val="28"/>
          <w:szCs w:val="28"/>
        </w:rPr>
        <w:t>осужден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и находится под стражей;</w:t>
      </w:r>
    </w:p>
    <w:p w:rsidR="001B65AD" w:rsidRDefault="001B65AD" w:rsidP="001B65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проживают и обучаются за пределами района.</w:t>
      </w:r>
    </w:p>
    <w:p w:rsidR="001B65AD" w:rsidRDefault="001B65AD" w:rsidP="001B65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из 32, </w:t>
      </w:r>
      <w:proofErr w:type="gramStart"/>
      <w:r>
        <w:rPr>
          <w:rFonts w:ascii="Times New Roman" w:hAnsi="Times New Roman"/>
          <w:sz w:val="28"/>
          <w:szCs w:val="28"/>
        </w:rPr>
        <w:t>совершивших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преступления, индивидуально-профилактическая работа организована </w:t>
      </w:r>
      <w:r>
        <w:rPr>
          <w:rFonts w:ascii="Times New Roman" w:hAnsi="Times New Roman"/>
          <w:b/>
          <w:sz w:val="28"/>
          <w:szCs w:val="28"/>
        </w:rPr>
        <w:t>с 20 несовершеннолетними</w:t>
      </w:r>
      <w:r>
        <w:rPr>
          <w:rFonts w:ascii="Times New Roman" w:hAnsi="Times New Roman"/>
          <w:sz w:val="28"/>
          <w:szCs w:val="28"/>
        </w:rPr>
        <w:t>.</w:t>
      </w:r>
    </w:p>
    <w:p w:rsidR="001B65AD" w:rsidRDefault="001B65AD" w:rsidP="001B65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 периоде в Комиссии рассмотрено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дел об административных правонарушениях в отношении несовершеннолетних, допустивших употребление алкоголя: по ст. 20.20 КоАП РФ  (распитие или спиртосодержащей продукции в общественных местах)– 3; по ст. 20.21 КоАП РФ (появление в общественных местах в состоянии алкогольного опьянения) – 5.  Кроме того,  за 2014 год рассмотрены по ст. 20.22 КоАП РФ (нахождение в состоянии опьянения несовершеннолетних, потребление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распитие ими алкогольной продукции либо потребление наркотических средств – до 16 лет, составляется протокол на родителей)  - 12 административных нарушений.</w:t>
      </w:r>
    </w:p>
    <w:p w:rsidR="001B65AD" w:rsidRDefault="001B65AD" w:rsidP="001B65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целях профилактических мероприятий по вовлечению несовершеннолетних в употребление спиртных напитков за 2014 год на заседании муниципальной комиссии рассмотрены  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административных материалов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 ст. 6.10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КоАП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(составляется на совершеннолетних граждан за вовлечение несовершеннолетних).</w:t>
      </w:r>
    </w:p>
    <w:p w:rsidR="001B65AD" w:rsidRDefault="001B65AD" w:rsidP="001B65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За отчетный период  составлен 1 административный протокол по ч. 2 ст. 2.9 КЗ-608 в отношении должностного лица, допустившего нахождение несовершеннолетнего в кафе после 22.00.   Выявлено 10 фактов продажи несовершеннолетним пива и сигарет, составлено 3 протокола по ст. 14.2 КоАП РФ, 4 – по ст. 14.16 КоАП РФ и 3 материала за продажу табака несовершеннолетним направлены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Роспотребнадзор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B65AD" w:rsidRDefault="001B65AD" w:rsidP="001B65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Основная причина совершения преступлений несовершеннолетними является отсутствие должного контроля со стороны родителей за времяпровождением своих детей.  В целях предупреждения совершения преступлений несовершеннолетними муниципальной комиссией проводится профилактическая работа:</w:t>
      </w:r>
    </w:p>
    <w:p w:rsidR="001B65AD" w:rsidRDefault="001B65AD" w:rsidP="001B65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так как большинство преступлений составляют имущественные кражи, в образовательных учреждениях организовано проведение общешкольных родительских собраний с участием инспекторов ОПДН, членов комиссии, прокуратуры, с разъяснением ответственности за совершение преступлений данной категории;</w:t>
      </w:r>
    </w:p>
    <w:p w:rsidR="001B65AD" w:rsidRDefault="001B65AD" w:rsidP="001B65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течение учебного года в образовательных учреждениях проводились занятия по тематике: «Административная и уголовная ответственность за совершение преступлений и правонарушений»;</w:t>
      </w:r>
    </w:p>
    <w:p w:rsidR="001B65AD" w:rsidRDefault="001B65AD" w:rsidP="001B65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осуществляется постоянный контроль занятости несовершеннолетних в каникулярное и внеурочное время, вовлечение детей в учреждения дополнительного образования (спорт, творческие кружки, интеллектуальные мероприятия).</w:t>
      </w:r>
    </w:p>
    <w:p w:rsidR="001B65AD" w:rsidRDefault="001B65AD" w:rsidP="001B65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детской преступности в районе ежемесячно анализируется и обсуждается на заседаниях муниципальной комиссии.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анализ  подростковой преступности и работа служб системы профилактики обсуждался на межведомственном совещании с участием руководителей служб системы профилактики, представителей отдела  МВД России по Темрюкскому району, руководителей Штабов воспитательной работы школ района  в марте 2014 года, на координационном совещании  с участием прокурора Темрюкского района, руководителей правоохранительных органов и служб Темрюкского района, руководителей служб системы профилактики 28 мая 2014 года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65AD" w:rsidRDefault="001B65AD" w:rsidP="001B65AD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профилактики преступлений в отношении несовершеннолетних, а также чрезвычайных происшествий с несовершеннолетними в преддверии летних каникул члены муниципальной комиссии приняли участие в  родительских собраниях, на которых </w:t>
      </w:r>
      <w:r>
        <w:rPr>
          <w:rFonts w:ascii="Times New Roman" w:hAnsi="Times New Roman"/>
          <w:sz w:val="28"/>
          <w:szCs w:val="28"/>
        </w:rPr>
        <w:lastRenderedPageBreak/>
        <w:t>приводились примеры, освещалась статистика детской преступности, преступлений в отношении несовершеннолетних, употребление детьми спиртных напитков. Такие встречи прошли в 32 школах. Кроме того, информация об ответственности родителей в воспитании детей   в преддверии летних каникул была размещена на официальном сайте администрации муниципального образования Темрюкский район, а также в средствах массовой информации (газета «Тамань»).</w:t>
      </w:r>
    </w:p>
    <w:p w:rsidR="001B65AD" w:rsidRDefault="001B65AD" w:rsidP="001B65AD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своевременного информирования комиссия по делам несовершеннолетних и защите их прав разработала схему оперативного взаимодействия органов и учреждений системы профилактики по фактам жестокого обращения с детьми, угрозы их жизни и здоровью. Схема направлена всем руководителям органов системы профилактики и главам сельских поселений.</w:t>
      </w:r>
    </w:p>
    <w:p w:rsidR="00AB7C98" w:rsidRDefault="001B65AD" w:rsidP="001B65AD">
      <w:r>
        <w:rPr>
          <w:rFonts w:ascii="Times New Roman" w:eastAsia="Times New Roman" w:hAnsi="Times New Roman"/>
          <w:sz w:val="28"/>
          <w:szCs w:val="28"/>
          <w:lang w:eastAsia="ru-RU"/>
        </w:rPr>
        <w:t>В школах на стендах размещена информация о правах ребенка, контактные телефоны и координаты организаций и учреждений, куда могут обратиться дети в опасной ситуации.</w:t>
      </w:r>
    </w:p>
    <w:sectPr w:rsidR="00AB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48"/>
    <w:rsid w:val="001B65AD"/>
    <w:rsid w:val="00AB7C98"/>
    <w:rsid w:val="00B3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Steshenko Vyacheslav Anatolyevich</dc:creator>
  <cp:keywords/>
  <dc:description/>
  <cp:lastModifiedBy>Steshenko Vyacheslav Anatolyevich</cp:lastModifiedBy>
  <cp:revision>2</cp:revision>
  <dcterms:created xsi:type="dcterms:W3CDTF">2015-03-12T05:22:00Z</dcterms:created>
  <dcterms:modified xsi:type="dcterms:W3CDTF">2015-03-12T05:23:00Z</dcterms:modified>
</cp:coreProperties>
</file>