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37659">
        <w:rPr>
          <w:b/>
          <w:bCs/>
          <w:color w:val="auto"/>
          <w:szCs w:val="28"/>
        </w:rPr>
        <w:t>226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37659">
        <w:rPr>
          <w:rFonts w:ascii="Times New Roman" w:hAnsi="Times New Roman" w:cs="Times New Roman"/>
          <w:b/>
          <w:sz w:val="28"/>
          <w:szCs w:val="28"/>
        </w:rPr>
        <w:t>401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63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659" w:rsidRPr="0063765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37659" w:rsidRPr="00637659" w:rsidRDefault="00637659" w:rsidP="006376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659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637659" w:rsidP="006376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659">
              <w:rPr>
                <w:rFonts w:ascii="Times New Roman" w:hAnsi="Times New Roman"/>
                <w:sz w:val="28"/>
                <w:szCs w:val="28"/>
              </w:rPr>
              <w:t xml:space="preserve">ул. Набережная, </w:t>
            </w:r>
            <w:proofErr w:type="gramStart"/>
            <w:r w:rsidRPr="00637659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637659">
              <w:rPr>
                <w:rFonts w:ascii="Times New Roman" w:hAnsi="Times New Roman"/>
                <w:sz w:val="28"/>
                <w:szCs w:val="28"/>
              </w:rPr>
              <w:t xml:space="preserve"> прилегающая к кафе «Бриз»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637659" w:rsidP="0063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37659">
        <w:rPr>
          <w:b w:val="0"/>
          <w:bCs w:val="0"/>
          <w:szCs w:val="28"/>
        </w:rPr>
        <w:t>14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37659">
        <w:rPr>
          <w:rFonts w:ascii="Times New Roman" w:eastAsia="Times New Roman" w:hAnsi="Times New Roman" w:cs="Times New Roman"/>
          <w:sz w:val="28"/>
          <w:szCs w:val="28"/>
        </w:rPr>
        <w:t>401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37659">
        <w:rPr>
          <w:rFonts w:ascii="Times New Roman" w:hAnsi="Times New Roman" w:cs="Times New Roman"/>
          <w:sz w:val="28"/>
          <w:szCs w:val="28"/>
        </w:rPr>
        <w:t>401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37659">
        <w:rPr>
          <w:rFonts w:ascii="Times New Roman" w:eastAsia="Times New Roman" w:hAnsi="Times New Roman" w:cs="Times New Roman"/>
          <w:color w:val="000000"/>
          <w:sz w:val="28"/>
          <w:szCs w:val="28"/>
        </w:rPr>
        <w:t>401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37659">
        <w:rPr>
          <w:rFonts w:ascii="Times New Roman" w:hAnsi="Times New Roman"/>
          <w:sz w:val="28"/>
          <w:szCs w:val="28"/>
        </w:rPr>
        <w:t>24000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</w:t>
      </w:r>
      <w:r w:rsidR="00637659">
        <w:rPr>
          <w:rFonts w:ascii="Times New Roman" w:hAnsi="Times New Roman"/>
          <w:sz w:val="28"/>
          <w:szCs w:val="28"/>
        </w:rPr>
        <w:t>четыре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37659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37659">
        <w:rPr>
          <w:rFonts w:ascii="Times New Roman" w:eastAsia="Times New Roman" w:hAnsi="Times New Roman"/>
          <w:color w:val="000000"/>
          <w:sz w:val="28"/>
          <w:szCs w:val="28"/>
        </w:rPr>
        <w:t>401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36" w:rsidRDefault="00B67336" w:rsidP="000E2122">
      <w:pPr>
        <w:spacing w:after="0" w:line="240" w:lineRule="auto"/>
      </w:pPr>
      <w:r>
        <w:separator/>
      </w:r>
    </w:p>
  </w:endnote>
  <w:endnote w:type="continuationSeparator" w:id="0">
    <w:p w:rsidR="00B67336" w:rsidRDefault="00B6733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36" w:rsidRDefault="00B67336" w:rsidP="000E2122">
      <w:pPr>
        <w:spacing w:after="0" w:line="240" w:lineRule="auto"/>
      </w:pPr>
      <w:r>
        <w:separator/>
      </w:r>
    </w:p>
  </w:footnote>
  <w:footnote w:type="continuationSeparator" w:id="0">
    <w:p w:rsidR="00B67336" w:rsidRDefault="00B6733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D3DBCA-C989-4E50-A81D-1C5524D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2019-06-30T13:16:00Z</dcterms:created>
  <dcterms:modified xsi:type="dcterms:W3CDTF">2019-06-30T13:16:00Z</dcterms:modified>
</cp:coreProperties>
</file>