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</w:t>
      </w:r>
      <w:r w:rsidR="00A860CD">
        <w:rPr>
          <w:b/>
          <w:bCs/>
          <w:szCs w:val="28"/>
        </w:rPr>
        <w:t>81</w:t>
      </w:r>
    </w:p>
    <w:p w:rsidR="00085B6A" w:rsidRPr="00085B6A" w:rsidRDefault="00A860CD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исключении из дальнейшего предоставления мест размещения нестационарных торговых объектов</w:t>
      </w:r>
      <w:r w:rsidR="005E1076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Темрюкский район</w:t>
      </w:r>
      <w:r>
        <w:rPr>
          <w:rFonts w:ascii="Times New Roman" w:hAnsi="Times New Roman"/>
          <w:b/>
          <w:sz w:val="28"/>
          <w:szCs w:val="28"/>
        </w:rPr>
        <w:t>, результаты аукциона на право заключения договоров на размещение нестационарных торговых объектов на территории муниципального образования Темрюкский район по которым аннулированы Комиссией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21B4F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A860CD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A860CD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</w:t>
      </w:r>
      <w:r w:rsidR="00A860CD">
        <w:rPr>
          <w:rStyle w:val="af2"/>
          <w:b w:val="0"/>
          <w:sz w:val="28"/>
          <w:szCs w:val="28"/>
        </w:rPr>
        <w:t>исключении из дальнейшего предоставления мест размещения нестационарных торговых объектов</w:t>
      </w:r>
      <w:r w:rsidR="001D3830">
        <w:rPr>
          <w:rStyle w:val="af2"/>
          <w:b w:val="0"/>
          <w:sz w:val="28"/>
          <w:szCs w:val="28"/>
        </w:rPr>
        <w:t xml:space="preserve"> на территории муниципального образования Темрюкский район</w:t>
      </w:r>
      <w:r w:rsidR="00A860CD">
        <w:rPr>
          <w:rStyle w:val="af2"/>
          <w:b w:val="0"/>
          <w:sz w:val="28"/>
          <w:szCs w:val="28"/>
        </w:rPr>
        <w:t xml:space="preserve">, </w:t>
      </w:r>
      <w:r w:rsidR="00C72473">
        <w:rPr>
          <w:rStyle w:val="af2"/>
          <w:b w:val="0"/>
          <w:sz w:val="28"/>
          <w:szCs w:val="28"/>
        </w:rPr>
        <w:t xml:space="preserve">по которым аннулированы </w:t>
      </w:r>
      <w:r w:rsidR="00A860CD">
        <w:rPr>
          <w:rStyle w:val="af2"/>
          <w:b w:val="0"/>
          <w:sz w:val="28"/>
          <w:szCs w:val="28"/>
        </w:rPr>
        <w:t>результаты аукциона на право заключения договоров на размещение нестационарных торговых объектов на территории муниципального образования Темрюкский район (далее - аукцион)</w:t>
      </w:r>
      <w:r w:rsidR="00C72473">
        <w:rPr>
          <w:rStyle w:val="af2"/>
          <w:b w:val="0"/>
          <w:sz w:val="28"/>
          <w:szCs w:val="28"/>
        </w:rPr>
        <w:t>,</w:t>
      </w:r>
      <w:r w:rsidR="00A860CD">
        <w:rPr>
          <w:rStyle w:val="af2"/>
          <w:b w:val="0"/>
          <w:sz w:val="28"/>
          <w:szCs w:val="28"/>
        </w:rPr>
        <w:t xml:space="preserve"> в связи с уклонением победителей аукциона от заключения договоров на размещение нестационарных торговых объектов</w:t>
      </w:r>
      <w:r w:rsidR="001D3830">
        <w:rPr>
          <w:rStyle w:val="af2"/>
          <w:b w:val="0"/>
          <w:sz w:val="28"/>
          <w:szCs w:val="28"/>
        </w:rPr>
        <w:t xml:space="preserve"> по лотам </w:t>
      </w:r>
      <w:r w:rsidR="001D3830">
        <w:rPr>
          <w:sz w:val="28"/>
          <w:szCs w:val="28"/>
        </w:rPr>
        <w:t>№ 48, № 174, № 177, № 188, № 195, № 283, № 334, № 351, № 352, № 353, № 355</w:t>
      </w:r>
      <w:r w:rsidR="00A860CD">
        <w:rPr>
          <w:rStyle w:val="af2"/>
          <w:b w:val="0"/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A860CD" w:rsidRDefault="005E1076" w:rsidP="00A860CD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решениями аукционной комиссии на основании протоколов об аннулировании результатов аукциона на право заключения договоров на территории Голубицкого, Фонталовского и Таманского сельских поселений от 3 мая 2018 года № 2018/270, № 2018/271, № 2018/272, № 2018/273, № 2018/274, № 2018/275, № 2018/276, № 2018/277, № 2018/278, № </w:t>
      </w:r>
      <w:r>
        <w:rPr>
          <w:sz w:val="28"/>
          <w:szCs w:val="28"/>
        </w:rPr>
        <w:lastRenderedPageBreak/>
        <w:t xml:space="preserve">2018/279, № 2018/280, результаты аукциона по </w:t>
      </w:r>
      <w:r w:rsidR="001D3830">
        <w:rPr>
          <w:sz w:val="28"/>
          <w:szCs w:val="28"/>
        </w:rPr>
        <w:t xml:space="preserve">лотам </w:t>
      </w:r>
      <w:r w:rsidR="00A860CD">
        <w:rPr>
          <w:sz w:val="28"/>
          <w:szCs w:val="28"/>
        </w:rPr>
        <w:t>№ 48,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174,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177,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188,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195,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283,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334,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351,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352,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353,</w:t>
      </w:r>
      <w:r>
        <w:rPr>
          <w:sz w:val="28"/>
          <w:szCs w:val="28"/>
        </w:rPr>
        <w:t xml:space="preserve"> № </w:t>
      </w:r>
      <w:r w:rsidR="00A860CD">
        <w:rPr>
          <w:sz w:val="28"/>
          <w:szCs w:val="28"/>
        </w:rPr>
        <w:t>355</w:t>
      </w:r>
      <w:r>
        <w:rPr>
          <w:sz w:val="28"/>
          <w:szCs w:val="28"/>
        </w:rPr>
        <w:t xml:space="preserve"> аннулированы в связи с уклонением победителей аукциона от заключения договоров по данным лотам.</w:t>
      </w:r>
    </w:p>
    <w:p w:rsidR="005E1076" w:rsidRPr="001D3830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  <w:t>Учитывая вышеизложенное,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5E1076">
        <w:rPr>
          <w:sz w:val="28"/>
          <w:szCs w:val="28"/>
        </w:rPr>
        <w:t>Исключить из дальнейшего предоставления</w:t>
      </w:r>
      <w:r w:rsidR="008A4CD1">
        <w:rPr>
          <w:sz w:val="28"/>
          <w:szCs w:val="28"/>
        </w:rPr>
        <w:t xml:space="preserve"> в 2018 году</w:t>
      </w:r>
      <w:r w:rsidR="005E1076">
        <w:rPr>
          <w:sz w:val="28"/>
          <w:szCs w:val="28"/>
        </w:rPr>
        <w:t xml:space="preserve"> места для размещения </w:t>
      </w:r>
      <w:r w:rsidR="005E1076" w:rsidRPr="005E1076">
        <w:rPr>
          <w:sz w:val="28"/>
          <w:szCs w:val="28"/>
        </w:rPr>
        <w:t>нестационарных торговых</w:t>
      </w:r>
      <w:r w:rsidR="00C72473">
        <w:rPr>
          <w:sz w:val="28"/>
          <w:szCs w:val="28"/>
        </w:rPr>
        <w:t xml:space="preserve"> объектов</w:t>
      </w:r>
      <w:r w:rsidR="005E1076" w:rsidRPr="005E1076">
        <w:rPr>
          <w:sz w:val="28"/>
          <w:szCs w:val="28"/>
        </w:rPr>
        <w:t xml:space="preserve"> на территории муниципального образования Темрюкский район, </w:t>
      </w:r>
      <w:r w:rsidR="005E1076">
        <w:rPr>
          <w:sz w:val="28"/>
          <w:szCs w:val="28"/>
        </w:rPr>
        <w:t>под следующими номерами</w:t>
      </w:r>
      <w:r w:rsidR="001D3830">
        <w:rPr>
          <w:sz w:val="28"/>
          <w:szCs w:val="28"/>
        </w:rPr>
        <w:t>,</w:t>
      </w:r>
      <w:r w:rsidR="005E1076">
        <w:rPr>
          <w:sz w:val="28"/>
          <w:szCs w:val="28"/>
        </w:rPr>
        <w:t xml:space="preserve"> № 48, № 174, № 177, № 188,  № 195, № 283, № 334, № 351, № 352, № 353, </w:t>
      </w:r>
      <w:r w:rsidR="008A4CD1">
        <w:rPr>
          <w:sz w:val="28"/>
          <w:szCs w:val="28"/>
        </w:rPr>
        <w:t xml:space="preserve">               </w:t>
      </w:r>
      <w:r w:rsidR="005E1076">
        <w:rPr>
          <w:sz w:val="28"/>
          <w:szCs w:val="28"/>
        </w:rPr>
        <w:t>№ 355</w:t>
      </w:r>
      <w:r w:rsidR="001D3830" w:rsidRPr="001D3830">
        <w:rPr>
          <w:sz w:val="28"/>
          <w:szCs w:val="28"/>
        </w:rPr>
        <w:t xml:space="preserve"> </w:t>
      </w:r>
      <w:r w:rsidR="001D3830">
        <w:rPr>
          <w:sz w:val="28"/>
          <w:szCs w:val="28"/>
        </w:rPr>
        <w:t>(согласно Схемы размещения нестационарных торговых объектов на территории муниципального образования Темрюкский район (утверждена постановлением от 19 февраля 2018 года № 154))</w:t>
      </w:r>
      <w:r w:rsidR="008A4CD1">
        <w:rPr>
          <w:sz w:val="28"/>
          <w:szCs w:val="28"/>
        </w:rPr>
        <w:t>,</w:t>
      </w:r>
      <w:r w:rsidR="008A4CD1" w:rsidRPr="008A4CD1">
        <w:rPr>
          <w:sz w:val="28"/>
          <w:szCs w:val="28"/>
        </w:rPr>
        <w:t xml:space="preserve"> </w:t>
      </w:r>
      <w:r w:rsidR="008A4CD1">
        <w:rPr>
          <w:sz w:val="28"/>
          <w:szCs w:val="28"/>
        </w:rPr>
        <w:t xml:space="preserve">результаты аукциона </w:t>
      </w:r>
      <w:r w:rsidR="008A4CD1" w:rsidRPr="005E1076">
        <w:rPr>
          <w:sz w:val="28"/>
          <w:szCs w:val="28"/>
        </w:rPr>
        <w:t>по которым аннулированы Комиссией</w:t>
      </w:r>
      <w:r w:rsidR="008A4CD1">
        <w:rPr>
          <w:sz w:val="28"/>
          <w:szCs w:val="28"/>
        </w:rPr>
        <w:t>.</w:t>
      </w:r>
    </w:p>
    <w:p w:rsidR="001D3830" w:rsidRPr="005E1076" w:rsidRDefault="001D3830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</w:t>
      </w:r>
      <w:r w:rsidR="008A4CD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на сайте муниципального образования Темрюкский район.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C724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73" w:rsidRDefault="00C72473" w:rsidP="000E2122">
      <w:pPr>
        <w:spacing w:after="0" w:line="240" w:lineRule="auto"/>
      </w:pPr>
      <w:r>
        <w:separator/>
      </w:r>
    </w:p>
  </w:endnote>
  <w:endnote w:type="continuationSeparator" w:id="0">
    <w:p w:rsidR="00C72473" w:rsidRDefault="00C7247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73" w:rsidRDefault="00C72473" w:rsidP="000E2122">
      <w:pPr>
        <w:spacing w:after="0" w:line="240" w:lineRule="auto"/>
      </w:pPr>
      <w:r>
        <w:separator/>
      </w:r>
    </w:p>
  </w:footnote>
  <w:footnote w:type="continuationSeparator" w:id="0">
    <w:p w:rsidR="00C72473" w:rsidRDefault="00C7247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C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5C79"/>
    <w:rsid w:val="001876CF"/>
    <w:rsid w:val="00192868"/>
    <w:rsid w:val="001B4C57"/>
    <w:rsid w:val="001C531B"/>
    <w:rsid w:val="001D3830"/>
    <w:rsid w:val="00252FA1"/>
    <w:rsid w:val="00262E41"/>
    <w:rsid w:val="002631C2"/>
    <w:rsid w:val="002667B5"/>
    <w:rsid w:val="0026755D"/>
    <w:rsid w:val="00273311"/>
    <w:rsid w:val="0027558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E1076"/>
    <w:rsid w:val="005E1F79"/>
    <w:rsid w:val="005E416B"/>
    <w:rsid w:val="00606C90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4CD1"/>
    <w:rsid w:val="008D3D31"/>
    <w:rsid w:val="008E5DB7"/>
    <w:rsid w:val="0093065B"/>
    <w:rsid w:val="00932B5B"/>
    <w:rsid w:val="009566BD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860CD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5476"/>
    <w:rsid w:val="00C165BD"/>
    <w:rsid w:val="00C176BE"/>
    <w:rsid w:val="00C2406B"/>
    <w:rsid w:val="00C262E0"/>
    <w:rsid w:val="00C52E1A"/>
    <w:rsid w:val="00C72473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B1FF6-5CC4-44F0-8E84-A98C589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944D68-0163-41EF-8D52-81DEC12B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2</cp:revision>
  <cp:lastPrinted>2018-05-04T14:26:00Z</cp:lastPrinted>
  <dcterms:created xsi:type="dcterms:W3CDTF">2018-05-10T09:02:00Z</dcterms:created>
  <dcterms:modified xsi:type="dcterms:W3CDTF">2018-05-10T09:02:00Z</dcterms:modified>
</cp:coreProperties>
</file>