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962"/>
      </w:tblGrid>
      <w:tr w:rsidR="00B70080" w:rsidRPr="00AA09FE" w:rsidTr="007E158A">
        <w:tc>
          <w:tcPr>
            <w:tcW w:w="3115" w:type="dxa"/>
          </w:tcPr>
          <w:p w:rsidR="00B70080" w:rsidRPr="009F2379" w:rsidRDefault="00B70080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8" w:type="dxa"/>
          </w:tcPr>
          <w:p w:rsidR="00B70080" w:rsidRPr="009F2379" w:rsidRDefault="00B70080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:rsidR="00155B59" w:rsidRPr="00AA09FE" w:rsidRDefault="00155B59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A0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Начальнику управления </w:t>
            </w:r>
          </w:p>
          <w:p w:rsidR="00B25F87" w:rsidRDefault="00B25F87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потребительской сферы</w:t>
            </w:r>
          </w:p>
          <w:p w:rsidR="00155B59" w:rsidRPr="00AA09FE" w:rsidRDefault="00155B59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A0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155B59" w:rsidRPr="00AA09FE" w:rsidRDefault="00155B59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A0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155B59" w:rsidRPr="00AA09FE" w:rsidRDefault="00155B59" w:rsidP="00155B59">
            <w:pPr>
              <w:widowControl w:val="0"/>
              <w:autoSpaceDE w:val="0"/>
              <w:autoSpaceDN w:val="0"/>
              <w:adjustRightInd w:val="0"/>
              <w:ind w:right="-28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A0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Темрюкский муниципальный район </w:t>
            </w:r>
          </w:p>
          <w:p w:rsidR="003A4CF9" w:rsidRPr="00AA09FE" w:rsidRDefault="00155B59" w:rsidP="00155B5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9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Краснодарского края</w:t>
            </w:r>
          </w:p>
          <w:p w:rsidR="00E2770B" w:rsidRPr="00AA09FE" w:rsidRDefault="00E2770B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A4CF9" w:rsidRPr="00AA09FE" w:rsidRDefault="00155B59" w:rsidP="003D2F40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09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Кода И.И.</w:t>
            </w:r>
          </w:p>
        </w:tc>
      </w:tr>
    </w:tbl>
    <w:p w:rsidR="00B86F27" w:rsidRPr="00AA09FE" w:rsidRDefault="00B86F27" w:rsidP="003D2F4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37FD" w:rsidRPr="00AA09FE" w:rsidRDefault="000C37FD" w:rsidP="003D2F4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AA09FE" w:rsidRDefault="00B86F27" w:rsidP="003D2F4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№ </w:t>
      </w:r>
      <w:r w:rsidR="00155B5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21-23</w:t>
      </w:r>
      <w:r w:rsidR="00A13CA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/26</w:t>
      </w:r>
      <w:r w:rsidR="00A57966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-33</w:t>
      </w:r>
      <w:r w:rsidR="007D4201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55B5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4419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A13CA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B0E68" w:rsidRPr="00AA09FE" w:rsidRDefault="00B70080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оценки регулирующего воздействия проекта </w:t>
      </w:r>
      <w:r w:rsidR="002B25E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Темрюкский муниципальный район Краснодарского края </w:t>
      </w:r>
      <w:r w:rsidR="00322A3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муниципального образования Темрюкский район                               от 20 мая 2020 г. № 702 «Об утверждении схемы размещения нестационарных торговых объектов на территории муниципального образования Темрюкский район»</w:t>
      </w:r>
    </w:p>
    <w:p w:rsidR="006D0053" w:rsidRPr="00AA09FE" w:rsidRDefault="006D0053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E68" w:rsidRPr="00AA09FE" w:rsidRDefault="009B0E68" w:rsidP="009B0E6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AA09FE" w:rsidRDefault="00B70080" w:rsidP="002B25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Отдел инвестиционного развития, малого бизнеса и промышленности как уполномоченный орган по проведению оценки регулирующего воздействия проектов нормативных правовых актов, устанавливающих новые,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9F237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рассмотрел поступив</w:t>
      </w:r>
      <w:r w:rsidR="006A3DE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ший</w:t>
      </w:r>
      <w:r w:rsidR="000D0236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A3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9E6C4D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  <w:r w:rsidR="00A13CA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проект </w:t>
      </w:r>
      <w:r w:rsidR="002B25E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Темрюкский муниципальный район Краснодарского края </w:t>
      </w:r>
      <w:r w:rsidR="00322A3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20 мая 2020 г. № 702 «Об утверждении схемы размещения нестационарных торговых объектов на территории муниципального образования Темрюкский район»</w:t>
      </w:r>
      <w:r w:rsidR="00D93D4E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проект), разработанный </w:t>
      </w:r>
      <w:r w:rsidR="008A2A65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</w:t>
      </w:r>
      <w:r w:rsidR="00F32D25" w:rsidRPr="00F32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потребительской сферы </w:t>
      </w:r>
      <w:r w:rsidR="00A13CA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 образования Темрюкский муниципальный район Краснодарского края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Темрюкский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</w:t>
      </w:r>
      <w:r w:rsidR="009F237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муниципального образо</w:t>
      </w:r>
      <w:r w:rsidR="00B53A0F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вания Темрюкский район                                 от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11 мая 2022 г. № 699 (далее – Порядок), проект подлежит проведению оценки регулирующего воздействия.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Проект содержит положения, имеющие </w:t>
      </w:r>
      <w:r w:rsidR="00D01035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высокую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степень регулирующего воздействия.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Проведён анализ результатов исследований, проводимых разработчиком: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установлена полнота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органом проведена оценка эффективности предлагаемого разработчиком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проблема, на решение которой направлено правовое регулирование, сформулирована точно;</w:t>
      </w:r>
    </w:p>
    <w:p w:rsidR="00322A32" w:rsidRPr="00AA09FE" w:rsidRDefault="00B70080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определены потенциальные адресаты предлагаемого правового регулирования: </w:t>
      </w:r>
      <w:r w:rsidR="00322A3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 индивидуальные предприниматели, желающие осуществлять торговую деятельность в нестационарных объектах.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с тем, на данный момент 281 единица нестационарных торговых объектов, включена в Схему, из которых 18 добавлено новых.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 Темрюкский муниципальный район Краснодарского края размещены нестационарные торговые объекты: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Ахтанизовском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26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Вышестеблиевском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8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– в Голубицком сельском поселении – 90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– в Запорожском сельском поселении – 3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Курчанском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15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Новотаманском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4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– в Сенном сельском поселении – 6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Старотитаровском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7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– в Таманском сельском поселении – 22 ед.;</w:t>
      </w:r>
    </w:p>
    <w:p w:rsidR="00322A32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Фонталовском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сельском поселении – 29 ед.;</w:t>
      </w:r>
    </w:p>
    <w:p w:rsidR="00B70080" w:rsidRPr="00AA09FE" w:rsidRDefault="00322A32" w:rsidP="00322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– в Темрюкском городском поселении – 71 ед.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B25E3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мнению разработчика, расходы бюджета муниципального образования Темрюкский </w:t>
      </w:r>
      <w:r w:rsidR="00044F6F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044F6F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, понесенные от регулирующего воздействия предлагаемого проекта муниципального нормативного правового акт</w:t>
      </w:r>
      <w:r w:rsidR="008A3406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437F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22A3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предусмотрены.</w:t>
      </w:r>
    </w:p>
    <w:p w:rsidR="00180BDF" w:rsidRPr="00AA09FE" w:rsidRDefault="00E07CE9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иски введения предлагаемого прав</w:t>
      </w:r>
      <w:r w:rsidR="0012459D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ового регулирования отсутствуют.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установлено следующее: </w:t>
      </w:r>
    </w:p>
    <w:p w:rsidR="006D0053" w:rsidRPr="00AA09FE" w:rsidRDefault="00B70080" w:rsidP="002651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Потенциальными группами участников общественных отношений интересы, которых будут затронуты правовым регулированием, являются: </w:t>
      </w:r>
      <w:r w:rsidR="00FF6A6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 индивидуальные предприниматели, желающие осуществлять торговую деятельность в нестационарных объектах.</w:t>
      </w:r>
    </w:p>
    <w:p w:rsidR="00FF6A67" w:rsidRPr="00AA09FE" w:rsidRDefault="00B70080" w:rsidP="009F23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Проблема, на решение которой направлено предлагаемое правовое регулирование: </w:t>
      </w:r>
      <w:r w:rsidR="00FF6A67" w:rsidRPr="00AA09FE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собственности.</w:t>
      </w:r>
    </w:p>
    <w:p w:rsidR="00CE78AE" w:rsidRPr="00AA09FE" w:rsidRDefault="00544493" w:rsidP="00CE78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Цель проекта: </w:t>
      </w:r>
      <w:r w:rsidR="00CE78AE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количества нестационарных торговых объектов, а также обеспечения устойчивого развития территории муниципального образования Темрюкский муниципальный район Краснодарского края.</w:t>
      </w:r>
    </w:p>
    <w:p w:rsidR="00804709" w:rsidRPr="00AA09FE" w:rsidRDefault="00544493" w:rsidP="00804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целях решения указанной проблемы </w:t>
      </w:r>
      <w:r w:rsidR="0080470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рассматриваемым проектом постановления предлагается приложения 1, 2 к постановлению изложить в новой редакции (включение 18 новых объектов в Схему размещения нестационарных торговых объектов на территории муниципального образования Темрюкский муниципальный район Краснодарского края новые нестационарные торговые объекты на основании заявлений от предпринимателей).</w:t>
      </w:r>
    </w:p>
    <w:p w:rsidR="00804709" w:rsidRPr="00AA09FE" w:rsidRDefault="00804709" w:rsidP="00804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Также признать утратившим силу постановление администрации муниципального образования Темрюкский район от 26 сентября 2025 г.                                        № 1474 «О внесении изменений в постановление администрации муниципального образования Темрюкский район от 20 мая 2020 г. № 702 «Об утверждении схемы размещения нестационарных торговых объектов на территории муниципального образования Темрюкский район».</w:t>
      </w:r>
    </w:p>
    <w:p w:rsidR="00B70080" w:rsidRPr="00AA09FE" w:rsidRDefault="00B70080" w:rsidP="00804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5.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Темрюкского района, отсутствуют.</w:t>
      </w:r>
    </w:p>
    <w:p w:rsidR="00804709" w:rsidRPr="00AA09FE" w:rsidRDefault="00804709" w:rsidP="008047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A09FE"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 частью 3 статьи 10 Федерального закона                                                  от 28 декабря 2009 г. № 381-ФЗ «Об основах государственного регулирования торговой деятельности в Российской Федерации», частью 3.1 раздела 3 постановления главы администрации (губернатора) Краснодарского края                         от 11 ноября 2014 г.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                   (далее – Постановление № 1249) 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Федерации.</w:t>
      </w:r>
    </w:p>
    <w:p w:rsidR="00804709" w:rsidRPr="00AA09FE" w:rsidRDefault="00804709" w:rsidP="008047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A09FE"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 частью 3.9 Постановления № 1249 в схему могут быть внесены изменения в порядке, установленном для ее разработки и утверждения, предусматривающие изменение количества нестационарных торговых объектов не чаще двух раз в год.</w:t>
      </w:r>
    </w:p>
    <w:p w:rsidR="00804709" w:rsidRPr="00AA09FE" w:rsidRDefault="00804709" w:rsidP="008047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A09F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Администрация муниципального образования Темрюкский муниципальный район Краснодарского края является уполномоченным органом по включению в Схему размещения нестационарных торговых объектов на </w:t>
      </w:r>
      <w:r w:rsidRPr="00AA09FE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территории муниципального образования Темрюкский муниципальный район Краснодарского края. Альтернативный способ решения проблемы отсутствует.</w:t>
      </w:r>
    </w:p>
    <w:p w:rsidR="002B25E3" w:rsidRPr="00AA09FE" w:rsidRDefault="00B70080" w:rsidP="00804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33766A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Расходы бюджета муниципального образования Темрюкский муниципал</w:t>
      </w:r>
      <w:r w:rsidR="00D01035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ьный район Краснодарского края</w:t>
      </w:r>
      <w:r w:rsidR="0033766A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понесенные от регулирующего воздействия предлагаемого проекта муниципального нормативного правового акт, </w:t>
      </w:r>
      <w:r w:rsidR="0080470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B25E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предусмотрены.</w:t>
      </w:r>
    </w:p>
    <w:p w:rsidR="00FB0637" w:rsidRPr="00AA09FE" w:rsidRDefault="00617279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предлагаемого правового регулирования</w:t>
      </w:r>
      <w:r w:rsidR="00E2770B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63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предполагаются на </w:t>
      </w:r>
      <w:r w:rsidR="00265186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заявления и прилагаемых документов</w:t>
      </w:r>
      <w:r w:rsidR="00FB0637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proofErr w:type="gram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Методике оценки стандартных издержек субъектов</w:t>
      </w:r>
      <w:proofErr w:type="gram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предпринимательской и иной экономической деятельности, возникающих в связи с использованием требований регулирования, утвержденной приказом Министерства экономического развития Российской Федерации                                            от 22 сентября 2015 г. № 669, информационные издержки регулирования включают в себя затраты на подготовку и предоставление информации в соответствии с требованиями проекта. Расчет суммы затрат произведен с использованием калькулятора расчета стандартных издержек (regulation.gov.ru).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Расчет издержек на подготовку и представление запроса и документов: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раздел требования: информационное;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элемент: подача заявления на включение в схему </w:t>
      </w:r>
      <w:r w:rsidRPr="00AA0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территории муниципального образования Темрюкский муниципальный район Краснодарского края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тип элемента: документы, составленные для передачи органам власти;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частота: 1 ед.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Действия: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написание любого документа низкого уровня сложности (менее 5 страниц печатного текста) – 1 чел./часов;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копирование документов – 1,00 чел./часов;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заявления – 1 чел./час.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расходные материалы и канцелярские товары – 100,00 рублей.</w:t>
      </w:r>
    </w:p>
    <w:p w:rsidR="00804709" w:rsidRPr="00AA09FE" w:rsidRDefault="00804709" w:rsidP="008047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Оплата доверенности (в случае обращения иного доверенного лица);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Среднемесячная заработная плата в муниципальном образовании Темрюкский муниципальный район Краснодарского края (2026 г.): 52 934, 25 руб.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Средняя стоимость часа работы: 313,5 рублей.</w:t>
      </w:r>
    </w:p>
    <w:p w:rsidR="00804709" w:rsidRPr="00AA09FE" w:rsidRDefault="00804709" w:rsidP="008047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требования: 1 040,5 руб. в расчете на 1 ед. ((313,5*(1+1+</w:t>
      </w:r>
      <w:proofErr w:type="gram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1)+</w:t>
      </w:r>
      <w:proofErr w:type="gram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100).</w:t>
      </w:r>
    </w:p>
    <w:p w:rsidR="00B46B66" w:rsidRPr="00AA09FE" w:rsidRDefault="00B46B66" w:rsidP="00B46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80470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 г. по </w:t>
      </w:r>
      <w:r w:rsidR="00804709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6 марта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 г.</w:t>
      </w:r>
    </w:p>
    <w:p w:rsidR="00B46B66" w:rsidRPr="00AA09FE" w:rsidRDefault="00B46B66" w:rsidP="00B46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8. Информация о проводимых публичных консультациях была размещена на официальном сайте муниципального образования Темрюкский муниципальный район Краснодарского края (www.temryuk.ru).</w:t>
      </w:r>
    </w:p>
    <w:p w:rsidR="00B46B66" w:rsidRPr="00AA09FE" w:rsidRDefault="00B46B66" w:rsidP="00B46B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проект направлялся в адрес общественных организаций, с которыми заключены соглашения о взаимодействии при проведении оценки регулирующего воздействия: председателю союза Темрюкской торгово-промышленной палаты, ООО «Компания «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Туринвест+Сервис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                                      МУП «Центральный рынок», индивидуальному предпринимателю                       А.В. Перхуну, уполномоченному по защите прав предпринимателей в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Темрюкском районе Краснодарского края, председателю Темрюкского местного отделения общероссийской общественной организации малого и среднего предпринимательства «ОПОРА РОССИИ», индивидуальному предпринимателю В.А. </w:t>
      </w:r>
      <w:proofErr w:type="spellStart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Фефелову</w:t>
      </w:r>
      <w:proofErr w:type="spellEnd"/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9. В период проведения публичных консультаций замечания и предложения по проекту не поступили.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По результатам оценки регулирующего воздействия сделан вывод об отсутствии в представленном проекте положений, вводящих избыточные административные обязанности, запреты и ограничения для субъектов предпринимательской и иной экономической деятельности, обязанности для субъектов инвестиционной деятельности или способствующих их ведению, оказывающих негативное влияние на отрасли экономики муниципального образования Темрюкский </w:t>
      </w:r>
      <w:r w:rsidR="009269B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269B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способствующих возникновению необоснованных расходов юридических лиц в сфере предпринимательской, инвестиционной и иной экономической деятельности, а также необоснованных расходов бюджета муниципального образования </w:t>
      </w:r>
      <w:r w:rsidR="009269B2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Темрюкский муниципальный район Краснодарского края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и о возможности его дальнейшего согласования.</w:t>
      </w: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AA09FE" w:rsidRDefault="00B70080" w:rsidP="003D2F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0080" w:rsidRPr="00AA09FE" w:rsidRDefault="00F44193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ачальник отдела</w:t>
      </w:r>
    </w:p>
    <w:p w:rsidR="00B70080" w:rsidRPr="00AA09FE" w:rsidRDefault="00B70080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инвестиционного развития,</w:t>
      </w:r>
    </w:p>
    <w:p w:rsidR="000C37FD" w:rsidRPr="00AA09FE" w:rsidRDefault="000C37FD" w:rsidP="003D2F4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малого бизнеса и промышленности</w:t>
      </w:r>
    </w:p>
    <w:p w:rsidR="000C37FD" w:rsidRPr="00AA09FE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</w:p>
    <w:p w:rsidR="000C37FD" w:rsidRPr="00AA09FE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0C37FD" w:rsidRPr="00AA09FE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Темрюкский муниципальный район</w:t>
      </w:r>
    </w:p>
    <w:p w:rsidR="00B70080" w:rsidRPr="009F2379" w:rsidRDefault="000C37FD" w:rsidP="000C37F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="006B01EB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6B01EB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19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0080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193" w:rsidRPr="00AA09FE">
        <w:rPr>
          <w:rFonts w:ascii="Times New Roman" w:hAnsi="Times New Roman" w:cs="Times New Roman"/>
          <w:color w:val="000000" w:themeColor="text1"/>
          <w:sz w:val="28"/>
          <w:szCs w:val="28"/>
        </w:rPr>
        <w:t>А.С. Ратушная</w:t>
      </w:r>
    </w:p>
    <w:sectPr w:rsidR="00B70080" w:rsidRPr="009F2379" w:rsidSect="000C37F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47"/>
    <w:rsid w:val="00002199"/>
    <w:rsid w:val="00010E39"/>
    <w:rsid w:val="00013AB8"/>
    <w:rsid w:val="00015D4C"/>
    <w:rsid w:val="0003115C"/>
    <w:rsid w:val="000312DB"/>
    <w:rsid w:val="00044F6F"/>
    <w:rsid w:val="00053572"/>
    <w:rsid w:val="000674F9"/>
    <w:rsid w:val="000855D3"/>
    <w:rsid w:val="000A7E36"/>
    <w:rsid w:val="000B0832"/>
    <w:rsid w:val="000C37FD"/>
    <w:rsid w:val="000C6004"/>
    <w:rsid w:val="000D0236"/>
    <w:rsid w:val="000E394A"/>
    <w:rsid w:val="00100289"/>
    <w:rsid w:val="00117378"/>
    <w:rsid w:val="00117772"/>
    <w:rsid w:val="001240CE"/>
    <w:rsid w:val="0012459D"/>
    <w:rsid w:val="00142613"/>
    <w:rsid w:val="00145756"/>
    <w:rsid w:val="00154000"/>
    <w:rsid w:val="00155B59"/>
    <w:rsid w:val="00180BDF"/>
    <w:rsid w:val="001870C4"/>
    <w:rsid w:val="00187A01"/>
    <w:rsid w:val="001A641B"/>
    <w:rsid w:val="001C4ADD"/>
    <w:rsid w:val="001D308C"/>
    <w:rsid w:val="001D3D48"/>
    <w:rsid w:val="001D64B0"/>
    <w:rsid w:val="001F1B81"/>
    <w:rsid w:val="00207C64"/>
    <w:rsid w:val="002135AD"/>
    <w:rsid w:val="00237606"/>
    <w:rsid w:val="00254B82"/>
    <w:rsid w:val="002636EC"/>
    <w:rsid w:val="00265186"/>
    <w:rsid w:val="0026613F"/>
    <w:rsid w:val="00271229"/>
    <w:rsid w:val="00272D96"/>
    <w:rsid w:val="002860C5"/>
    <w:rsid w:val="002A0409"/>
    <w:rsid w:val="002B25E3"/>
    <w:rsid w:val="002B755E"/>
    <w:rsid w:val="002C0D8D"/>
    <w:rsid w:val="002D09E8"/>
    <w:rsid w:val="002D62E5"/>
    <w:rsid w:val="002E6CC5"/>
    <w:rsid w:val="002F1AA9"/>
    <w:rsid w:val="002F4122"/>
    <w:rsid w:val="00303653"/>
    <w:rsid w:val="00317935"/>
    <w:rsid w:val="00320AE3"/>
    <w:rsid w:val="00322A32"/>
    <w:rsid w:val="0032388F"/>
    <w:rsid w:val="003245AD"/>
    <w:rsid w:val="0033766A"/>
    <w:rsid w:val="00361147"/>
    <w:rsid w:val="00371370"/>
    <w:rsid w:val="00386082"/>
    <w:rsid w:val="00396AA5"/>
    <w:rsid w:val="003A2410"/>
    <w:rsid w:val="003A4181"/>
    <w:rsid w:val="003A4CF9"/>
    <w:rsid w:val="003B6BC6"/>
    <w:rsid w:val="003C56AB"/>
    <w:rsid w:val="003C6472"/>
    <w:rsid w:val="003D2F40"/>
    <w:rsid w:val="003E742A"/>
    <w:rsid w:val="0041009B"/>
    <w:rsid w:val="004171DC"/>
    <w:rsid w:val="0041737D"/>
    <w:rsid w:val="00420FE8"/>
    <w:rsid w:val="00421DB5"/>
    <w:rsid w:val="00421EAB"/>
    <w:rsid w:val="004332B0"/>
    <w:rsid w:val="00433799"/>
    <w:rsid w:val="0043482A"/>
    <w:rsid w:val="004437AF"/>
    <w:rsid w:val="00447358"/>
    <w:rsid w:val="00454B1E"/>
    <w:rsid w:val="00494206"/>
    <w:rsid w:val="00497615"/>
    <w:rsid w:val="004B0CA6"/>
    <w:rsid w:val="004C6EF8"/>
    <w:rsid w:val="004D4FEC"/>
    <w:rsid w:val="004E0396"/>
    <w:rsid w:val="004F63A5"/>
    <w:rsid w:val="0050172B"/>
    <w:rsid w:val="00502940"/>
    <w:rsid w:val="00524753"/>
    <w:rsid w:val="0052758F"/>
    <w:rsid w:val="00544493"/>
    <w:rsid w:val="00546FFB"/>
    <w:rsid w:val="00570F34"/>
    <w:rsid w:val="00572CE3"/>
    <w:rsid w:val="005737F2"/>
    <w:rsid w:val="005875E7"/>
    <w:rsid w:val="005A0AC2"/>
    <w:rsid w:val="005A6204"/>
    <w:rsid w:val="005B6D77"/>
    <w:rsid w:val="005E5E33"/>
    <w:rsid w:val="005E7FE6"/>
    <w:rsid w:val="005F33D1"/>
    <w:rsid w:val="005F340E"/>
    <w:rsid w:val="006049B7"/>
    <w:rsid w:val="00617279"/>
    <w:rsid w:val="0062131E"/>
    <w:rsid w:val="00631652"/>
    <w:rsid w:val="006514C6"/>
    <w:rsid w:val="00652A05"/>
    <w:rsid w:val="00654BF2"/>
    <w:rsid w:val="00654E8C"/>
    <w:rsid w:val="006678F4"/>
    <w:rsid w:val="00682C2A"/>
    <w:rsid w:val="006913F0"/>
    <w:rsid w:val="0069437F"/>
    <w:rsid w:val="00697F36"/>
    <w:rsid w:val="006A3CCC"/>
    <w:rsid w:val="006A3DE9"/>
    <w:rsid w:val="006A56A5"/>
    <w:rsid w:val="006A7017"/>
    <w:rsid w:val="006B01EB"/>
    <w:rsid w:val="006C44D6"/>
    <w:rsid w:val="006C5C9F"/>
    <w:rsid w:val="006D0053"/>
    <w:rsid w:val="006D64F8"/>
    <w:rsid w:val="006E3038"/>
    <w:rsid w:val="006F08F5"/>
    <w:rsid w:val="00705845"/>
    <w:rsid w:val="00705EAE"/>
    <w:rsid w:val="00723C7C"/>
    <w:rsid w:val="00733FB9"/>
    <w:rsid w:val="007375B9"/>
    <w:rsid w:val="007410A3"/>
    <w:rsid w:val="007744C5"/>
    <w:rsid w:val="00775B71"/>
    <w:rsid w:val="00775FCD"/>
    <w:rsid w:val="007909A8"/>
    <w:rsid w:val="007A291A"/>
    <w:rsid w:val="007B6914"/>
    <w:rsid w:val="007C2524"/>
    <w:rsid w:val="007C5372"/>
    <w:rsid w:val="007D14F3"/>
    <w:rsid w:val="007D2AB3"/>
    <w:rsid w:val="007D4201"/>
    <w:rsid w:val="007D4A5B"/>
    <w:rsid w:val="007E158A"/>
    <w:rsid w:val="00804709"/>
    <w:rsid w:val="00812A6E"/>
    <w:rsid w:val="00822177"/>
    <w:rsid w:val="00845B7D"/>
    <w:rsid w:val="00856A0B"/>
    <w:rsid w:val="00887FFD"/>
    <w:rsid w:val="008A2A65"/>
    <w:rsid w:val="008A3406"/>
    <w:rsid w:val="008B04A4"/>
    <w:rsid w:val="008C187C"/>
    <w:rsid w:val="008E34A2"/>
    <w:rsid w:val="008F177B"/>
    <w:rsid w:val="00906254"/>
    <w:rsid w:val="009269B2"/>
    <w:rsid w:val="00934835"/>
    <w:rsid w:val="009565BB"/>
    <w:rsid w:val="00967511"/>
    <w:rsid w:val="00972D6C"/>
    <w:rsid w:val="00996370"/>
    <w:rsid w:val="009A38DE"/>
    <w:rsid w:val="009B0E68"/>
    <w:rsid w:val="009B13B5"/>
    <w:rsid w:val="009B1F80"/>
    <w:rsid w:val="009B4423"/>
    <w:rsid w:val="009B4AE5"/>
    <w:rsid w:val="009E0B60"/>
    <w:rsid w:val="009E6C4D"/>
    <w:rsid w:val="009F1B15"/>
    <w:rsid w:val="009F2379"/>
    <w:rsid w:val="009F65DB"/>
    <w:rsid w:val="00A073E7"/>
    <w:rsid w:val="00A13CA7"/>
    <w:rsid w:val="00A22AE0"/>
    <w:rsid w:val="00A26045"/>
    <w:rsid w:val="00A31AC2"/>
    <w:rsid w:val="00A35A49"/>
    <w:rsid w:val="00A37CFF"/>
    <w:rsid w:val="00A41AE6"/>
    <w:rsid w:val="00A42519"/>
    <w:rsid w:val="00A55227"/>
    <w:rsid w:val="00A57966"/>
    <w:rsid w:val="00A71220"/>
    <w:rsid w:val="00A749FE"/>
    <w:rsid w:val="00A74FC3"/>
    <w:rsid w:val="00A76C2F"/>
    <w:rsid w:val="00A776C9"/>
    <w:rsid w:val="00AA09FE"/>
    <w:rsid w:val="00AA32FC"/>
    <w:rsid w:val="00AA6A52"/>
    <w:rsid w:val="00AB4E41"/>
    <w:rsid w:val="00AB6CCB"/>
    <w:rsid w:val="00AD7D66"/>
    <w:rsid w:val="00B0413E"/>
    <w:rsid w:val="00B21F55"/>
    <w:rsid w:val="00B25F87"/>
    <w:rsid w:val="00B40A3B"/>
    <w:rsid w:val="00B4181C"/>
    <w:rsid w:val="00B45C47"/>
    <w:rsid w:val="00B46B66"/>
    <w:rsid w:val="00B53A0F"/>
    <w:rsid w:val="00B55EDC"/>
    <w:rsid w:val="00B70080"/>
    <w:rsid w:val="00B73227"/>
    <w:rsid w:val="00B868C8"/>
    <w:rsid w:val="00B86F27"/>
    <w:rsid w:val="00B97CE5"/>
    <w:rsid w:val="00BA0F0D"/>
    <w:rsid w:val="00BA3C7B"/>
    <w:rsid w:val="00BB1674"/>
    <w:rsid w:val="00BD011F"/>
    <w:rsid w:val="00BE7C26"/>
    <w:rsid w:val="00BF69CA"/>
    <w:rsid w:val="00C01B3B"/>
    <w:rsid w:val="00C03231"/>
    <w:rsid w:val="00C047DA"/>
    <w:rsid w:val="00C375D9"/>
    <w:rsid w:val="00C56A1B"/>
    <w:rsid w:val="00C77693"/>
    <w:rsid w:val="00CA6F06"/>
    <w:rsid w:val="00CD007A"/>
    <w:rsid w:val="00CE78AE"/>
    <w:rsid w:val="00CF56A2"/>
    <w:rsid w:val="00D01035"/>
    <w:rsid w:val="00D01AB1"/>
    <w:rsid w:val="00D16668"/>
    <w:rsid w:val="00D67DC7"/>
    <w:rsid w:val="00D71C9D"/>
    <w:rsid w:val="00D7762B"/>
    <w:rsid w:val="00D825D6"/>
    <w:rsid w:val="00D91BD0"/>
    <w:rsid w:val="00D93D4E"/>
    <w:rsid w:val="00DB4A71"/>
    <w:rsid w:val="00DC1458"/>
    <w:rsid w:val="00DD1480"/>
    <w:rsid w:val="00DD7CBB"/>
    <w:rsid w:val="00DE442E"/>
    <w:rsid w:val="00DF6B19"/>
    <w:rsid w:val="00E04F9A"/>
    <w:rsid w:val="00E07CE9"/>
    <w:rsid w:val="00E14C94"/>
    <w:rsid w:val="00E2770B"/>
    <w:rsid w:val="00E34A93"/>
    <w:rsid w:val="00E406EA"/>
    <w:rsid w:val="00E82295"/>
    <w:rsid w:val="00E85736"/>
    <w:rsid w:val="00E85AFB"/>
    <w:rsid w:val="00E86962"/>
    <w:rsid w:val="00ED261D"/>
    <w:rsid w:val="00ED5A71"/>
    <w:rsid w:val="00EE3689"/>
    <w:rsid w:val="00EE4B2A"/>
    <w:rsid w:val="00F22ED0"/>
    <w:rsid w:val="00F32D25"/>
    <w:rsid w:val="00F41B54"/>
    <w:rsid w:val="00F44193"/>
    <w:rsid w:val="00F51BBC"/>
    <w:rsid w:val="00F54278"/>
    <w:rsid w:val="00F6409C"/>
    <w:rsid w:val="00F739DF"/>
    <w:rsid w:val="00F87A15"/>
    <w:rsid w:val="00FA3B36"/>
    <w:rsid w:val="00FB0637"/>
    <w:rsid w:val="00FB3DC8"/>
    <w:rsid w:val="00FC1F99"/>
    <w:rsid w:val="00FC54CC"/>
    <w:rsid w:val="00FD5A85"/>
    <w:rsid w:val="00FE07B1"/>
    <w:rsid w:val="00FE6B21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E044"/>
  <w15:chartTrackingRefBased/>
  <w15:docId w15:val="{4B5BD320-792B-4043-9CE0-46F47E93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6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A0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A6204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7D2A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2AB3"/>
    <w:pPr>
      <w:widowControl w:val="0"/>
      <w:shd w:val="clear" w:color="auto" w:fill="FFFFFF"/>
      <w:spacing w:before="720" w:after="720" w:line="43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"/>
    <w:rsid w:val="00117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 Spacing"/>
    <w:uiPriority w:val="1"/>
    <w:qFormat/>
    <w:rsid w:val="006D005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CBD7-EB92-47C0-B519-38DB2DBF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Храпунова Виктория Евгеньевна</dc:creator>
  <cp:keywords/>
  <dc:description/>
  <cp:lastModifiedBy>Храпунова Виктория Евгеньевна</cp:lastModifiedBy>
  <cp:revision>300</cp:revision>
  <cp:lastPrinted>2026-03-13T08:37:00Z</cp:lastPrinted>
  <dcterms:created xsi:type="dcterms:W3CDTF">2025-03-13T13:50:00Z</dcterms:created>
  <dcterms:modified xsi:type="dcterms:W3CDTF">2026-03-13T08:38:00Z</dcterms:modified>
</cp:coreProperties>
</file>