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72290">
        <w:rPr>
          <w:rFonts w:ascii="Times New Roman" w:hAnsi="Times New Roman" w:cs="Times New Roman"/>
          <w:b/>
          <w:sz w:val="28"/>
          <w:szCs w:val="28"/>
        </w:rPr>
        <w:t>5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C72290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290" w:rsidRPr="00C72290" w:rsidRDefault="00552E99" w:rsidP="00C722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2290" w:rsidRPr="00C72290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по профилактике острых </w:t>
      </w:r>
    </w:p>
    <w:p w:rsidR="00C72290" w:rsidRPr="00C72290" w:rsidRDefault="00C72290" w:rsidP="00C722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290">
        <w:rPr>
          <w:rFonts w:ascii="Times New Roman" w:hAnsi="Times New Roman" w:cs="Times New Roman"/>
          <w:b/>
          <w:bCs/>
          <w:sz w:val="28"/>
          <w:szCs w:val="28"/>
        </w:rPr>
        <w:t>кишечных инфекций и холеры</w:t>
      </w:r>
    </w:p>
    <w:p w:rsidR="005F1904" w:rsidRDefault="00C72290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290">
        <w:rPr>
          <w:rFonts w:ascii="Times New Roman" w:hAnsi="Times New Roman" w:cs="Times New Roman"/>
          <w:b/>
          <w:bCs/>
          <w:sz w:val="28"/>
          <w:szCs w:val="28"/>
        </w:rPr>
        <w:t>на территории Темрюкского района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Санитарно-противоэпидемическая комиссия,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проанализировав санитарно-эпидемиологическую ситуацию по заболеваемости острыми кишечными инфекциями и причинами их возникновения и распространения отмечает следующее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>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Уровень заболеваемости острыми кишечными инфекциями (далее по тексту ОКИ) на территории Темрюкского района в течение последних пяти лет остается на стабильно низком уровне и составляет: в 2022 году – 34,91на 100 тыс. населения против 45,55 на 100 тыс. населения в 2018 году. Следует отметить, что в 2019-2020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. отмечен рост заболеваемости острыми кишечными инфекциями (74,15 и 73,34 на 100 </w:t>
      </w:r>
      <w:proofErr w:type="spellStart"/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, населения соответственно), снижение уровня заболеваемости отмечено в 2020, 2021 и 2022 годах, что возможно объяснить ситуацией с пандемией COVID-19.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Значительно ухудшилась ситуация с этиологической расшифровкой заболеваний ОКИ: зарегистрировано ОКИ,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вызванные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установленными возбудителями 25 случаев или 50,1% в 2022 году против 42 случаев или 75% в 2018 году. Среди ОКИ с установленной этиологией преобладают заболевания, вызванные бактериальными возбудителями, с 2018 года регист</w:t>
      </w:r>
      <w:r>
        <w:rPr>
          <w:rFonts w:ascii="Times New Roman" w:hAnsi="Times New Roman" w:cs="Times New Roman"/>
          <w:bCs/>
          <w:sz w:val="24"/>
          <w:szCs w:val="24"/>
        </w:rPr>
        <w:t>рируются заболевания ОКИ, вызва</w:t>
      </w:r>
      <w:r w:rsidRPr="00C72290">
        <w:rPr>
          <w:rFonts w:ascii="Times New Roman" w:hAnsi="Times New Roman" w:cs="Times New Roman"/>
          <w:bCs/>
          <w:sz w:val="24"/>
          <w:szCs w:val="24"/>
        </w:rPr>
        <w:t>ны вирусами, удельный вес ОКИ вирусной этиологии в 2022 году составил 53%.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агентами, которых являются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ротавирусы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норовирусы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. В структуре зарегистрированных эпидемических очагов пищевого происхождения большую долю занимает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норовирусная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инфекция, существенную роль по значимости во вспышечной заболеваемости играет сальмонеллез.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Сезонный подъем заболеваемости ОКИ ежегодно регистрируется с июня по сентябрь.</w:t>
      </w:r>
    </w:p>
    <w:p w:rsidR="00C72290" w:rsidRP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Территориальным отделом и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Анапским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филиалом ФБУЗ «Центр гигиены и эпидемиологии в Краснодарском крае» ведется мониторинг состояния водных объектов и качества воды поверхностных водоемов и воды централизованного водоснабжения на наличие санитарно-показательных микроорганизмов и холерных вибрионов. За период с 2018 года в воде Азовского моря ежегодно регистрируются пробы воды с высоким содержанием микроорганизмов (выше допустимых гигиенических нормативов:1,8% – 10,5%); ежегодно более 29% исследованных проб воды из поверхностного водоема (р.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Казачий Ерик), служащего источником питьевого водоснабжения не соответствуют гигиеническим нормативам по содержанию бактериального загрязнения; от 2% до 4% исследованных проб питьевой воды регистрируется с превышением содержания микроорганизмов.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Холероподобные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вибрионы в последние годы из воды водоемов не выделяются.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Микробиологические и санитарно-химические показатели воды централизованного водоснабжения, состояние и надежность водопроводных сетей и сооружений, эксплуатируемых владельцами ведомственных и коммунальных водопроводов, остаются неудовлетворительными. </w:t>
      </w:r>
      <w:r w:rsidRPr="00C72290">
        <w:rPr>
          <w:rFonts w:ascii="Times New Roman" w:hAnsi="Times New Roman" w:cs="Times New Roman"/>
          <w:bCs/>
          <w:sz w:val="24"/>
          <w:szCs w:val="24"/>
        </w:rPr>
        <w:lastRenderedPageBreak/>
        <w:t>Основным недостатками при их эксплуатации являются: ненадлежащее состояние зон санитарной охраны источников водоснабжения, неудовлетворительное техническое состояние водопроводных сетей.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По результатам плановой проверки МУП ТГП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«Темрюк-Водоканал» выявлены нарушения, способствующие ухудшению качества питьевой воды: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- территории первых поясов зон санитарной охраны артезианских скважин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Курчанского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водозабора линейного типа, не огорожены и не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обеспечены охраной имеется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свободный доступ к источникам питьевого водоснабжения).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- в первых поясах зон санитарной охраны артезианских скважин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Курчанского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водозабора линейного типа имеются высокоствольные деревья;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- водопроводные сооружения, расположенные в первых поясах зон санитарной охраны источников водоснабжения МУП ТГП «Темрюк-Водоканал», не оборудованы с учетом предотвращения возможности загрязнения питьевой воды через оголовки и устья скважин, люки и устройства заливки насосов: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отмостки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вокруг оголовков скважин имеют трещины, частично разрушены, надземные фланцы (колпаки) скважин не герметичны, вводы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электрокабелей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 устье скважин не герметичны, что не исключает загрязнения питьевой воды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>, в том числе подземного горизонта и возможности намеренного привнесения загрязнения.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Качество природной воды в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Курчанском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водозаборе ухудшилась: практически во всех скважинах, в разводящей сети регистрируется превышение гигиенических нормативов содержания железа, аммиака. Усреднённое содержание в воде железа общего железо-0.58-1,33 (при норме не более 0.3), аммиак и ионы аммония (суммарно) - 3,2-8,4 (при норме не более 2.0). Изменение качества воды в источнике свидетельствует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эпидемической ненадежности.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Вопросы водоподготовки на предприятии решаются крайне медленными темпами. </w:t>
      </w:r>
    </w:p>
    <w:p w:rsidR="00C72290" w:rsidRP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Аналогичная картина складывается на водопроводе МБУ ПЭС «Голубицкая». Аммиак и ионы аммония (суммарно) -  4.05 (при норме не более 2.0). Жесткость общая -10.80 (при норме не более 7.0). Общее железо- - 0.45 (при норме не более 0.3). Сухой остаток – 1315.60 (при норме не более 1000). Хлориды – 541.20 (при норме не более 350). ОКБ- 7.69 (при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норме-отсутствие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Исходя из анализа качества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питьевой воды, подаваемой потребителям станицы Голубицкой установлено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, в 2022 году по микробиологическим исследованиям в 31,0% выявлены отклонения от гигиенических нормативов по содержанию общих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колиформных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бактерий, по санитарно-химическим показателям в 25,0% выявлены отклонения от гигиенических нормативов.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Существующие водопроводные сети находятся в неудовлетворительном состоянии из-за значительного износа трубопроводов. Высокое содержания железа в природной воде, подсос загрязнений из-за трубного пространства при порывах приводит к ухудшению органолептических показателей качества питьевой вод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мутность, цветность, что в свою очередь вызывает обоснованные жалобы населения.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Самой актуальной проблемой на сегодняшний день является система водоотведения и очистки стоков Темрюкского района. На территории Темрюкского района имеется 9 очистных сооружений канализации.  Имеют выпуски в поверхностные водоемы 4 сооружения, в Азовское море – 1, остальные сбрасывают очищенные стоки в пруды накопители-испарители, водонепроницаемость основания которых не проверяется, ремонтные работы не проводятся.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Выпуск в Азовское море (очистные сооружения города МУП ТГП «Темрюк-Водоканал») не соответствует гигиеническим нормативам, сброс сточной воды осуществляется у берега, протяженность глубоководного выпуска 150 м., проведенное предприятием водолазное обследование свидетельствует о неудовлетворительном санитарно-техническом состоянии: труба ветхая, с дырами, планировавшаяся реконструкция не выполнена, на очистных сооружениях канализации обеззараживание стоков перед выпуском в водоем не проводится.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 В г. Темрюке не решается вопрос о подключении домов частного сектора к центральной канализации, стоки сбрасываются в фильтрующие выгребы.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На объектах водоотведения района не осуществляется обеззараживание сточных вод, отсутствует технологическое оборудование.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современном этапе холера продолжает оставаться одной из актуальных, социально значимых и имеющих международное значение опасных инфекционных болезней, единичные случаи и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вспышки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которой в соответствии с международными медико-санитарными правилами рассматриваются как чрезвычайная ситуация. За последние десять лет в мире зарегистрировано более 4,5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больных холерой в 97 странах. При этом ВОЗ подчеркивает, что эпидемиологический учет холеры в мире искажается из-за отсутствия полной отчетности из стран Азии с высоким уровнем заболеваемости. Регистрируемые в мире очаги холеры представляют потенциальную угрозу завоза и распространения инфекции на территории Российской Федерации.</w:t>
      </w:r>
    </w:p>
    <w:p w:rsidR="00C72290" w:rsidRP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Ежегодно Управлением проводится плановая работа по профилактике особо опасных инфекций, в том числе мониторинг проб воды открытых водоемов на возбудителей холеры.  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В преддверии летнего эпидемического сезона, с учетом внешних рисков для исключения случаев завоза острых кишечных инфекций и холеры на территорию района, возникает необходимость принятия дополнительных мер по профилактике острых кишечных инфекций и холеры в соответствии с санитарными правилами и нормами СанПиН 3.3686-21 «Санитарно-эпидемиологические требования по профилактике инфекционных болезней», методическими указаниями МУ 3.4.2552-09 «Организация и проведение первичных противоэпидемических мероприятий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методическими указаниями МУ 3.1.1.2232-07 «Профилактика холеры».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В рамках исполнения нормативно-правовых актов, законодательства РФ, Комплексного (Межведомственного) плана противоэпидемических мероприятий по санитарной охране территории Темрюкского района при возникновении инфекционных болезней, вызывающих чрезвычайные ситуации в области санитарно-эпидемиологического благополучия населения на 2022 – 2026 годы, территориальным отделом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ежегодно проводятся тактико-специальные учения с вводом условного больного (подозрительного) холерой.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В 2023 году проведены учения на базе ГБУЗ «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Темрюкская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ЦРБ» детской поликлинике и ВОП п. За Родину, а также в морском порту Темрюк. По результатам анализа </w:t>
      </w:r>
      <w:proofErr w:type="gramStart"/>
      <w:r w:rsidRPr="00C72290">
        <w:rPr>
          <w:rFonts w:ascii="Times New Roman" w:hAnsi="Times New Roman" w:cs="Times New Roman"/>
          <w:bCs/>
          <w:sz w:val="24"/>
          <w:szCs w:val="24"/>
        </w:rPr>
        <w:t>выявлены</w:t>
      </w:r>
      <w:proofErr w:type="gram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ряд недостатков: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- не оборудована площадка для обеззараживания санитарного транспорта.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- отсутствует возможность обеззараживания стоков от детского инфекционного отделения, площадки для обеззараживания транспорта, площадки для ТКО.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- медицинский персонал допускает неточности в </w:t>
      </w:r>
      <w:proofErr w:type="spellStart"/>
      <w:r w:rsidRPr="00C72290">
        <w:rPr>
          <w:rFonts w:ascii="Times New Roman" w:hAnsi="Times New Roman" w:cs="Times New Roman"/>
          <w:bCs/>
          <w:sz w:val="24"/>
          <w:szCs w:val="24"/>
        </w:rPr>
        <w:t>последованости</w:t>
      </w:r>
      <w:proofErr w:type="spellEnd"/>
      <w:r w:rsidRPr="00C72290">
        <w:rPr>
          <w:rFonts w:ascii="Times New Roman" w:hAnsi="Times New Roman" w:cs="Times New Roman"/>
          <w:bCs/>
          <w:sz w:val="24"/>
          <w:szCs w:val="24"/>
        </w:rPr>
        <w:t xml:space="preserve"> одевания-снятия средств индивидуальной защиты.</w:t>
      </w:r>
    </w:p>
    <w:p w:rsidR="00C72290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>На основании статьей 51 Федерального закона от 30.03.1999 №52-ФЗ «О санитарно-эпидемиологическом благополучии населения», Постановление Главного государственного санитарного врач</w:t>
      </w:r>
      <w:r>
        <w:rPr>
          <w:rFonts w:ascii="Times New Roman" w:hAnsi="Times New Roman" w:cs="Times New Roman"/>
          <w:bCs/>
          <w:sz w:val="24"/>
          <w:szCs w:val="24"/>
        </w:rPr>
        <w:t>а РФ от 26 апреля 2022 г. N 14 «</w:t>
      </w:r>
      <w:r w:rsidRPr="00C72290">
        <w:rPr>
          <w:rFonts w:ascii="Times New Roman" w:hAnsi="Times New Roman" w:cs="Times New Roman"/>
          <w:bCs/>
          <w:sz w:val="24"/>
          <w:szCs w:val="24"/>
        </w:rPr>
        <w:t>О дополнительных мерах по профилактик</w:t>
      </w:r>
      <w:r>
        <w:rPr>
          <w:rFonts w:ascii="Times New Roman" w:hAnsi="Times New Roman" w:cs="Times New Roman"/>
          <w:bCs/>
          <w:sz w:val="24"/>
          <w:szCs w:val="24"/>
        </w:rPr>
        <w:t>е холеры в Российской Федерации»</w:t>
      </w:r>
      <w:r w:rsidRPr="00C72290">
        <w:rPr>
          <w:rFonts w:ascii="Times New Roman" w:hAnsi="Times New Roman" w:cs="Times New Roman"/>
          <w:bCs/>
          <w:sz w:val="24"/>
          <w:szCs w:val="24"/>
        </w:rPr>
        <w:t>:</w:t>
      </w:r>
    </w:p>
    <w:p w:rsidR="00197DEE" w:rsidRPr="00C72290" w:rsidRDefault="00C72290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90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санитарно-эпидемиологического благополучия населения, предупреждения завоза и распространения случаев холеры на территории Темрюкского района, профилактики формирования эпидемических очагов ОКИ среди населения санитарно-противоэпидемическая комиссия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C72290">
        <w:rPr>
          <w:rFonts w:ascii="Times New Roman" w:hAnsi="Times New Roman" w:cs="Times New Roman"/>
          <w:bCs/>
          <w:sz w:val="24"/>
          <w:szCs w:val="24"/>
        </w:rPr>
        <w:t>Темрюкск</w:t>
      </w:r>
      <w:r>
        <w:rPr>
          <w:rFonts w:ascii="Times New Roman" w:hAnsi="Times New Roman" w:cs="Times New Roman"/>
          <w:bCs/>
          <w:sz w:val="24"/>
          <w:szCs w:val="24"/>
        </w:rPr>
        <w:t>ий район</w:t>
      </w:r>
    </w:p>
    <w:p w:rsidR="006F27CB" w:rsidRDefault="006F27CB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Главам городского и сельских поселений Темрюкского района: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316F57">
        <w:rPr>
          <w:rFonts w:ascii="Times New Roman" w:hAnsi="Times New Roman" w:cs="Times New Roman"/>
          <w:sz w:val="23"/>
          <w:szCs w:val="23"/>
        </w:rPr>
        <w:t>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01.05.2023 и постоянно в течение летнего сезона.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316F57">
        <w:rPr>
          <w:rFonts w:ascii="Times New Roman" w:hAnsi="Times New Roman" w:cs="Times New Roman"/>
          <w:sz w:val="23"/>
          <w:szCs w:val="23"/>
        </w:rPr>
        <w:t>ГБУЗ «Темрюкская центральная районная больница» МЗ КК (Александров А.С.):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lastRenderedPageBreak/>
        <w:t>2.1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>ровести обучение персон</w:t>
      </w:r>
      <w:r>
        <w:rPr>
          <w:rFonts w:ascii="Times New Roman" w:hAnsi="Times New Roman" w:cs="Times New Roman"/>
          <w:sz w:val="23"/>
          <w:szCs w:val="23"/>
        </w:rPr>
        <w:t>ала по актуальным вопросам эпиде</w:t>
      </w:r>
      <w:r w:rsidRPr="00316F57">
        <w:rPr>
          <w:rFonts w:ascii="Times New Roman" w:hAnsi="Times New Roman" w:cs="Times New Roman"/>
          <w:sz w:val="23"/>
          <w:szCs w:val="23"/>
        </w:rPr>
        <w:t>миологии, диагностики, регистрации и лечении ОКИ, холеры.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27.04.2023 г.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2.2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16F57">
        <w:rPr>
          <w:rFonts w:ascii="Times New Roman" w:hAnsi="Times New Roman" w:cs="Times New Roman"/>
          <w:sz w:val="23"/>
          <w:szCs w:val="23"/>
        </w:rPr>
        <w:t xml:space="preserve"> Обеспечить готовность медицинских организаций и лабораторной базы к оказанию медицинской помощи гражданам, проведению диагностических исследований и противоэпидемических мероприятий на случай выявления больных холерой.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2.3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 xml:space="preserve"> Р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ассчитать и обеспечить создание резерва антибактериальных препаратов, средств парентеральной и пероральной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регидратации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на случай осложнения эпидемиологической ситуации.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27.04.2023 г.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2.4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16F57">
        <w:rPr>
          <w:rFonts w:ascii="Times New Roman" w:hAnsi="Times New Roman" w:cs="Times New Roman"/>
          <w:sz w:val="23"/>
          <w:szCs w:val="23"/>
        </w:rPr>
        <w:t xml:space="preserve"> Обеспечить информирование территориального отдела Управления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по Краснодарскому краю в Темрюкском районе о случаях выявления больных с подозрением на холеру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незамедлительно.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2.5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>редусмотреть разработку организационных, профилактических мероприятий в ГБУЗ «Темрюкская центральная районная больница» МЗ КК соответствии с оперативными планами.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2.5.1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16F57">
        <w:rPr>
          <w:rFonts w:ascii="Times New Roman" w:hAnsi="Times New Roman" w:cs="Times New Roman"/>
          <w:sz w:val="23"/>
          <w:szCs w:val="23"/>
        </w:rPr>
        <w:t xml:space="preserve"> Провести актуализацию методических материалов: оперативный план, план перепрофилирования медицинской организации на случай обнаружения/завоза заболевания холерой/подозрения на заболевание и на случай массовых заболеваний ОКИ, утвердить у руководителя Управления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по Краснодарскому краю план.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2.5.2. Организовать и оборудовать специальную площадку для дезинфекции и обработки санитарного транспорта, со сбором и обеззараживанием сточных вод.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2.4.3. Обеспечить проведение дезинфекции сточных вод из детского инфекционного отделения.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01.05.2023.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2.5. Обеспечить соблюдение строгого противоэпидемического режима в подразделениях госпитальной базы (изолятор, инфекционный и провизорный госпитали) и патологоанатомических отделениях в случае формирования очагов холеры. Иметь неснижаемый запас дезинфицирующих средств.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постоянно.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2.6. Обеспечить забор и направление биоматериала в ФБУЗ «Центр гигиены и эпидемиологии в Краснодарском крае»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регистрации эпидемических очагов ОКИ неустановленной этиологии </w:t>
      </w:r>
      <w:r w:rsidRPr="00316F57">
        <w:rPr>
          <w:rFonts w:ascii="Times New Roman" w:hAnsi="Times New Roman" w:cs="Times New Roman"/>
          <w:sz w:val="23"/>
          <w:szCs w:val="23"/>
        </w:rPr>
        <w:br/>
        <w:t xml:space="preserve">заболевания (с отрицательными результатами исследования материала от </w:t>
      </w:r>
      <w:r w:rsidRPr="00316F57">
        <w:rPr>
          <w:rFonts w:ascii="Times New Roman" w:hAnsi="Times New Roman" w:cs="Times New Roman"/>
          <w:sz w:val="23"/>
          <w:szCs w:val="23"/>
        </w:rPr>
        <w:br/>
        <w:t xml:space="preserve">пострадавших на наличие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Shigella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spp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., Salmonel1a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spp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.) </w:t>
      </w:r>
      <w:proofErr w:type="spellStart"/>
      <w:proofErr w:type="gramStart"/>
      <w:r w:rsidRPr="00316F57">
        <w:rPr>
          <w:rFonts w:ascii="Times New Roman" w:hAnsi="Times New Roman" w:cs="Times New Roman"/>
          <w:sz w:val="23"/>
          <w:szCs w:val="23"/>
        </w:rPr>
        <w:t>Rotavirus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grA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Norovil'US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) с количеством пострадавших более 5 человек; </w:t>
      </w:r>
      <w:proofErr w:type="gramEnd"/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регистрации эпидемических очагов ОКИ, установленной этиологии заболеваний: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шигеллеза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и сальмонеллеза - с количеством пострадавших более 5 человек,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норовирусной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ротавирусной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инфекции с количеством пострадавших более 10 человек, при заболеваниях другой этиологии - по предварительному согласованию с ФБУЗ «Центр гигиены и эпидемиологии в Краснодарском крае»;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летальном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исходе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 на фоне любого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синдромального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диагноза ОКИ у ребенка младше 5 лет или у пациента любого возраста в очаге групповой заболеваемости ОКИ вне зависимости от результатов проводившейся этиологической лабораторной диагностики заболевания;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выявлении патогенов,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характеризующихся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 атипичными характеристиками (антигенная структура, профили резистентности к антимикробным препаратам и др.) или ассоциацией с атипичными клиническими синдромами по предварительному письменному согласованию с Управлением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по Краснодарскому краю.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2.7. Обеспечить направление в ФБУЗ «Центр гигиены и эпидемиологи в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16F57">
        <w:rPr>
          <w:rFonts w:ascii="Times New Roman" w:hAnsi="Times New Roman" w:cs="Times New Roman"/>
          <w:sz w:val="23"/>
          <w:szCs w:val="23"/>
        </w:rPr>
        <w:t xml:space="preserve">Краснодарском крае» или филиалы: </w:t>
      </w:r>
    </w:p>
    <w:p w:rsidR="00316F57" w:rsidRPr="00316F57" w:rsidRDefault="00316F57" w:rsidP="00316F57">
      <w:pPr>
        <w:pStyle w:val="a3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патологоанатомический материал от трупов лиц, предположительно умерших от холеры; </w:t>
      </w:r>
    </w:p>
    <w:p w:rsidR="00316F57" w:rsidRPr="00316F57" w:rsidRDefault="00316F57" w:rsidP="00316F57">
      <w:pPr>
        <w:pStyle w:val="a3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выделенные культуры холерных вибрионов 01 и 0139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серогрупп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>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2.8. Принять дополнительные меры по повышению настороженности медицинских работников к выявлению случаев холеры и незамедлительному обследованию лиц, подозрительных на холеру больных острыми кишечными инфекциями с учетом эпидемического анамнеза, обращая особое </w:t>
      </w:r>
      <w:r w:rsidRPr="00316F57">
        <w:rPr>
          <w:rFonts w:ascii="Times New Roman" w:hAnsi="Times New Roman" w:cs="Times New Roman"/>
          <w:sz w:val="23"/>
          <w:szCs w:val="23"/>
        </w:rPr>
        <w:lastRenderedPageBreak/>
        <w:t>внимание на нахождение на территориях неблагополучных по эпидемической обстановке или потенциальных очагах инфекции.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июнь-сентябрь.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2.9. Обеспечить диспансерное наблюдение за лицами, перенесшими холеру или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вибриононосительство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после выписки из стационаров с постановкой на учет в кабинетах инфекционных болезней поликлиник по месту жительства, сроком на три месяца с бактериологическим обследованием: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один раз в 10 календарных дней в течение первого месяца;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один раз в месяц в течение 2-х месяцев. 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при регистрации заболевания.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2.11. Обеспечить диспансерное наблюдение за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лицами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 перенесшими ОКИ в соответствии с установленными требованиями. </w:t>
      </w:r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постоянно. 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2.12. Обеспечить забор клинического материала от всех выявленных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больных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 госпитализированных в стационары и обратившихся в амбулаторно-поликлинические медицинские организации по поводу ОКИ в день обращения до начала этиотропного лечения и организовать проведение исследований на выявление возбудителей ОКИ. </w:t>
      </w:r>
    </w:p>
    <w:p w:rsid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при выявлении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заболевшего</w:t>
      </w:r>
      <w:proofErr w:type="gramEnd"/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2.13.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 xml:space="preserve">Обеспечить забор, упаковку и транспортировку в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Анапский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филиал ФБУЗ «Центр гигиены и эпидемиологи в Краснодарском крае» проб клини</w:t>
      </w:r>
      <w:r>
        <w:rPr>
          <w:rFonts w:ascii="Times New Roman" w:hAnsi="Times New Roman" w:cs="Times New Roman"/>
          <w:sz w:val="23"/>
          <w:szCs w:val="23"/>
        </w:rPr>
        <w:t>ческого материала от контактных,</w:t>
      </w:r>
      <w:r w:rsidRPr="00316F57">
        <w:rPr>
          <w:rFonts w:ascii="Times New Roman" w:hAnsi="Times New Roman" w:cs="Times New Roman"/>
          <w:sz w:val="23"/>
          <w:szCs w:val="23"/>
        </w:rPr>
        <w:t xml:space="preserve"> находящихся в очагах с групповой заболеваемостью ОКИ в соответствии с решениями лица ответственного за проведение эпидемиологического расследования очага.</w:t>
      </w:r>
      <w:proofErr w:type="gramEnd"/>
    </w:p>
    <w:p w:rsidR="00316F57" w:rsidRPr="00316F57" w:rsidRDefault="00316F57" w:rsidP="00316F57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при выявлении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заболевшего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>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3. </w:t>
      </w:r>
      <w:r w:rsidR="00DA6796">
        <w:rPr>
          <w:rFonts w:ascii="Times New Roman" w:hAnsi="Times New Roman" w:cs="Times New Roman"/>
          <w:sz w:val="23"/>
          <w:szCs w:val="23"/>
        </w:rPr>
        <w:t>Главе Темрюкского городского поселения Темрюкского района</w:t>
      </w:r>
      <w:r w:rsidRPr="00316F57">
        <w:rPr>
          <w:rFonts w:ascii="Times New Roman" w:hAnsi="Times New Roman" w:cs="Times New Roman"/>
          <w:sz w:val="23"/>
          <w:szCs w:val="23"/>
        </w:rPr>
        <w:t xml:space="preserve"> (</w:t>
      </w:r>
      <w:r w:rsidR="00DA6796">
        <w:rPr>
          <w:rFonts w:ascii="Times New Roman" w:hAnsi="Times New Roman" w:cs="Times New Roman"/>
          <w:sz w:val="23"/>
          <w:szCs w:val="23"/>
        </w:rPr>
        <w:t>Сидоров</w:t>
      </w:r>
      <w:r w:rsidRPr="00316F57">
        <w:rPr>
          <w:rFonts w:ascii="Times New Roman" w:hAnsi="Times New Roman" w:cs="Times New Roman"/>
          <w:sz w:val="23"/>
          <w:szCs w:val="23"/>
        </w:rPr>
        <w:t xml:space="preserve"> В.А.), МУП ТГП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ТР</w:t>
      </w:r>
      <w:proofErr w:type="gramEnd"/>
      <w:r w:rsidRPr="00316F57">
        <w:rPr>
          <w:rFonts w:ascii="Times New Roman" w:hAnsi="Times New Roman" w:cs="Times New Roman"/>
          <w:sz w:val="23"/>
          <w:szCs w:val="23"/>
        </w:rPr>
        <w:t xml:space="preserve"> «Темрюк-Водоканал» (</w:t>
      </w:r>
      <w:r w:rsidR="00DA6796">
        <w:rPr>
          <w:rFonts w:ascii="Times New Roman" w:hAnsi="Times New Roman" w:cs="Times New Roman"/>
          <w:sz w:val="23"/>
          <w:szCs w:val="23"/>
        </w:rPr>
        <w:t xml:space="preserve">Мороз </w:t>
      </w:r>
      <w:r w:rsidRPr="00316F57">
        <w:rPr>
          <w:rFonts w:ascii="Times New Roman" w:hAnsi="Times New Roman" w:cs="Times New Roman"/>
          <w:sz w:val="23"/>
          <w:szCs w:val="23"/>
        </w:rPr>
        <w:t>А.А.):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3.1.</w:t>
      </w:r>
      <w:r w:rsidR="00DA6796">
        <w:rPr>
          <w:rFonts w:ascii="Times New Roman" w:hAnsi="Times New Roman" w:cs="Times New Roman"/>
          <w:sz w:val="23"/>
          <w:szCs w:val="23"/>
        </w:rPr>
        <w:t xml:space="preserve"> </w:t>
      </w:r>
      <w:r w:rsidRPr="00316F57">
        <w:rPr>
          <w:rFonts w:ascii="Times New Roman" w:hAnsi="Times New Roman" w:cs="Times New Roman"/>
          <w:sz w:val="23"/>
          <w:szCs w:val="23"/>
        </w:rPr>
        <w:t>Разработать мероприятия по обеззараживанию питьевой воды перед подачей в сеть на период строительства и ввода в эксплуатацию водоподготовки.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3.2.</w:t>
      </w:r>
      <w:r w:rsidR="00DA679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16F57">
        <w:rPr>
          <w:rFonts w:ascii="Times New Roman" w:hAnsi="Times New Roman" w:cs="Times New Roman"/>
          <w:sz w:val="23"/>
          <w:szCs w:val="23"/>
        </w:rPr>
        <w:t>Обеспечить подачу воды потребителям в соответствии с гигиеническим нормативами.</w:t>
      </w:r>
      <w:proofErr w:type="gramEnd"/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3.3.</w:t>
      </w:r>
      <w:r w:rsidR="00DA6796">
        <w:rPr>
          <w:rFonts w:ascii="Times New Roman" w:hAnsi="Times New Roman" w:cs="Times New Roman"/>
          <w:sz w:val="23"/>
          <w:szCs w:val="23"/>
        </w:rPr>
        <w:t xml:space="preserve"> </w:t>
      </w:r>
      <w:r w:rsidRPr="00316F57">
        <w:rPr>
          <w:rFonts w:ascii="Times New Roman" w:hAnsi="Times New Roman" w:cs="Times New Roman"/>
          <w:sz w:val="23"/>
          <w:szCs w:val="23"/>
        </w:rPr>
        <w:t>Обеспечить обеззараживание сточных вод перед сбросом в Азовское море.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с 01.05.2023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4. ГУП КК 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Кубаньводокоплекс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 xml:space="preserve"> (Лазарев А.А.):</w:t>
      </w:r>
    </w:p>
    <w:p w:rsidR="00316F57" w:rsidRPr="00316F57" w:rsidRDefault="00316F57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4.1. Обеспечить обеззараживание (</w:t>
      </w:r>
      <w:proofErr w:type="spellStart"/>
      <w:r w:rsidRPr="00316F57">
        <w:rPr>
          <w:rFonts w:ascii="Times New Roman" w:hAnsi="Times New Roman" w:cs="Times New Roman"/>
          <w:sz w:val="23"/>
          <w:szCs w:val="23"/>
        </w:rPr>
        <w:t>подхлорирование</w:t>
      </w:r>
      <w:proofErr w:type="spellEnd"/>
      <w:r w:rsidRPr="00316F57">
        <w:rPr>
          <w:rFonts w:ascii="Times New Roman" w:hAnsi="Times New Roman" w:cs="Times New Roman"/>
          <w:sz w:val="23"/>
          <w:szCs w:val="23"/>
        </w:rPr>
        <w:t>) воды в резервуарах чистой воды.</w:t>
      </w:r>
    </w:p>
    <w:p w:rsid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с 01.05.2023</w:t>
      </w:r>
    </w:p>
    <w:p w:rsidR="00857822" w:rsidRDefault="00857822" w:rsidP="0085782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5. </w:t>
      </w:r>
      <w:proofErr w:type="gramStart"/>
      <w:r>
        <w:rPr>
          <w:rFonts w:ascii="Times New Roman" w:hAnsi="Times New Roman" w:cs="Times New Roman"/>
          <w:sz w:val="23"/>
          <w:szCs w:val="23"/>
        </w:rPr>
        <w:t>Хозяйствующим субъектам независимо от организационно-правовой формы собственности, эксплуатирующих водоемы в рекреационных целях для организации купания и отдыха населения обеспечить:</w:t>
      </w:r>
      <w:proofErr w:type="gramEnd"/>
    </w:p>
    <w:p w:rsidR="00857822" w:rsidRDefault="00857822" w:rsidP="0085782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</w:t>
      </w:r>
      <w:proofErr w:type="gramStart"/>
      <w:r>
        <w:rPr>
          <w:rFonts w:ascii="Times New Roman" w:hAnsi="Times New Roman" w:cs="Times New Roman"/>
          <w:sz w:val="23"/>
          <w:szCs w:val="23"/>
        </w:rPr>
        <w:t>Эксплуатацию водоемов в соответствии с требованиями пункта 108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 № 3, в том числе обеспечить проведение лабораторного контроля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качества воды водоемов.</w:t>
      </w:r>
    </w:p>
    <w:p w:rsidR="00857822" w:rsidRPr="00316F57" w:rsidRDefault="00857822" w:rsidP="00857822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с 01.06.2023 в течение  сезона.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 Территориальный отдел Управления </w:t>
      </w:r>
      <w:proofErr w:type="spellStart"/>
      <w:r w:rsidR="00316F57" w:rsidRPr="00316F57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 (Севостьянова Г.Н.):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.1. 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 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01.05.2023 и постоянно в течение летнего сезона.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.2. Принимать немедленные оперативные решения при осложнении эпидемической ситуации, включая расширение объемов и кратности мониторинговых исследований водных объектов на холеру и микробиологические показатели. 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июнь-сентябрь. 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316F57" w:rsidRPr="00316F57">
        <w:rPr>
          <w:rFonts w:ascii="Times New Roman" w:hAnsi="Times New Roman" w:cs="Times New Roman"/>
          <w:sz w:val="23"/>
          <w:szCs w:val="23"/>
        </w:rPr>
        <w:t>Анапский</w:t>
      </w:r>
      <w:proofErr w:type="spell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филиал ФБУЗ «Центр гигиены и эпидемиологии в Кр</w:t>
      </w:r>
      <w:r w:rsidR="00DA6796">
        <w:rPr>
          <w:rFonts w:ascii="Times New Roman" w:hAnsi="Times New Roman" w:cs="Times New Roman"/>
          <w:sz w:val="23"/>
          <w:szCs w:val="23"/>
        </w:rPr>
        <w:t>аснодарском крае»        (Юркин В.Ж.):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F57" w:rsidRPr="00316F57">
        <w:rPr>
          <w:rFonts w:ascii="Times New Roman" w:hAnsi="Times New Roman" w:cs="Times New Roman"/>
          <w:sz w:val="23"/>
          <w:szCs w:val="23"/>
        </w:rPr>
        <w:t>.1. Продолжить еженедельный мониторинг заболеваемости острыми кишечными инфекциями в Темрюкском районе и анализ заболеваемости в сравнении со среднемноголетними уровнями.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в течение года. 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.2. Обеспечить готовность к проведению работ по индикации возбудителей холеры и идентификации возбудителей острых кишечных заболеваний, наличие необходимого количества питательных сред, расходных материалов. 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июнь-сентябрь.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.3. Оценить имеющееся оснащение лабораторным оборудованием и диагностическими препаратами, в том числе для </w:t>
      </w:r>
      <w:proofErr w:type="gramStart"/>
      <w:r w:rsidR="00316F57" w:rsidRPr="00316F57">
        <w:rPr>
          <w:rFonts w:ascii="Times New Roman" w:hAnsi="Times New Roman" w:cs="Times New Roman"/>
          <w:sz w:val="23"/>
          <w:szCs w:val="23"/>
        </w:rPr>
        <w:t>экспресс-диагностики</w:t>
      </w:r>
      <w:proofErr w:type="gram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с целью обеспечения этиологической расшифровки острых кишечных инфекций, холеры. 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 xml:space="preserve">Срок: до 27.04.2023. 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F57" w:rsidRPr="00316F57">
        <w:rPr>
          <w:rFonts w:ascii="Times New Roman" w:hAnsi="Times New Roman" w:cs="Times New Roman"/>
          <w:sz w:val="23"/>
          <w:szCs w:val="23"/>
        </w:rPr>
        <w:t>.4. Обеспечить проведение мониторинга контаминации холерными вибрионами О</w:t>
      </w:r>
      <w:proofErr w:type="gramStart"/>
      <w:r w:rsidR="00316F57" w:rsidRPr="00316F57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и О139 </w:t>
      </w:r>
      <w:proofErr w:type="spellStart"/>
      <w:r w:rsidR="00316F57" w:rsidRPr="00316F57">
        <w:rPr>
          <w:rFonts w:ascii="Times New Roman" w:hAnsi="Times New Roman" w:cs="Times New Roman"/>
          <w:sz w:val="23"/>
          <w:szCs w:val="23"/>
        </w:rPr>
        <w:t>серогрупп</w:t>
      </w:r>
      <w:proofErr w:type="spell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поверхностных водоемов и других объектов окружающей среды один раз в семь календарных дней с ежемесячным предоставлением информации главе муниципального образования.</w:t>
      </w:r>
    </w:p>
    <w:p w:rsidR="00316F57" w:rsidRP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июнь-сентябрь.</w:t>
      </w:r>
    </w:p>
    <w:p w:rsidR="00316F57" w:rsidRPr="00316F57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16F57" w:rsidRPr="00316F57">
        <w:rPr>
          <w:rFonts w:ascii="Times New Roman" w:hAnsi="Times New Roman" w:cs="Times New Roman"/>
          <w:sz w:val="23"/>
          <w:szCs w:val="23"/>
        </w:rPr>
        <w:t xml:space="preserve">. О ходе выполнения поручений настоящего постановления информировать территориальный отдел Управления </w:t>
      </w:r>
      <w:proofErr w:type="spellStart"/>
      <w:r w:rsidR="00316F57" w:rsidRPr="00316F57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316F57" w:rsidRPr="00316F57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районе.</w:t>
      </w:r>
    </w:p>
    <w:p w:rsidR="00316F57" w:rsidRDefault="00316F57" w:rsidP="00DA6796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16F57">
        <w:rPr>
          <w:rFonts w:ascii="Times New Roman" w:hAnsi="Times New Roman" w:cs="Times New Roman"/>
          <w:sz w:val="23"/>
          <w:szCs w:val="23"/>
        </w:rPr>
        <w:t>Срок: до 01.05.2023</w:t>
      </w:r>
    </w:p>
    <w:p w:rsidR="00F501B4" w:rsidRPr="00F501B4" w:rsidRDefault="00857822" w:rsidP="00316F5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F501B4" w:rsidRPr="00F501B4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F501B4" w:rsidRPr="00F501B4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F501B4" w:rsidRPr="00F501B4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BC501A" w:rsidRDefault="00BC501A" w:rsidP="00EB0F4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125E5" w:rsidRPr="00637409" w:rsidRDefault="00C125E5" w:rsidP="00EB0F4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proofErr w:type="spellStart"/>
      <w:r w:rsidRPr="00637409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637409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Краснодарскому краю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Темрюкском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районе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Г.Н. Севостьянова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C7229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17" w:rsidRDefault="001B5F17" w:rsidP="000175E4">
      <w:pPr>
        <w:spacing w:after="0" w:line="240" w:lineRule="auto"/>
      </w:pPr>
      <w:r>
        <w:separator/>
      </w:r>
    </w:p>
  </w:endnote>
  <w:endnote w:type="continuationSeparator" w:id="0">
    <w:p w:rsidR="001B5F17" w:rsidRDefault="001B5F17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17" w:rsidRDefault="001B5F17" w:rsidP="000175E4">
      <w:pPr>
        <w:spacing w:after="0" w:line="240" w:lineRule="auto"/>
      </w:pPr>
      <w:r>
        <w:separator/>
      </w:r>
    </w:p>
  </w:footnote>
  <w:footnote w:type="continuationSeparator" w:id="0">
    <w:p w:rsidR="001B5F17" w:rsidRDefault="001B5F17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04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97DEE"/>
    <w:rsid w:val="001A632B"/>
    <w:rsid w:val="001B5F17"/>
    <w:rsid w:val="001C4E55"/>
    <w:rsid w:val="001E30E9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37051"/>
    <w:rsid w:val="00437DCE"/>
    <w:rsid w:val="00461087"/>
    <w:rsid w:val="004648C7"/>
    <w:rsid w:val="00465010"/>
    <w:rsid w:val="004A0354"/>
    <w:rsid w:val="004A3A49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B7069"/>
    <w:rsid w:val="0084113D"/>
    <w:rsid w:val="0084444A"/>
    <w:rsid w:val="00857822"/>
    <w:rsid w:val="00876184"/>
    <w:rsid w:val="00880B29"/>
    <w:rsid w:val="008A7CD0"/>
    <w:rsid w:val="008B62A6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16B96"/>
    <w:rsid w:val="00A41C62"/>
    <w:rsid w:val="00A9345F"/>
    <w:rsid w:val="00A96289"/>
    <w:rsid w:val="00AC3E5F"/>
    <w:rsid w:val="00AC4313"/>
    <w:rsid w:val="00AF6819"/>
    <w:rsid w:val="00B02047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125E5"/>
    <w:rsid w:val="00C212AE"/>
    <w:rsid w:val="00C26635"/>
    <w:rsid w:val="00C2698C"/>
    <w:rsid w:val="00C55F21"/>
    <w:rsid w:val="00C72290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22F62"/>
    <w:rsid w:val="00E367CF"/>
    <w:rsid w:val="00E61BFE"/>
    <w:rsid w:val="00E73F99"/>
    <w:rsid w:val="00EA7710"/>
    <w:rsid w:val="00EB0F4A"/>
    <w:rsid w:val="00EE3220"/>
    <w:rsid w:val="00EE6E62"/>
    <w:rsid w:val="00F06835"/>
    <w:rsid w:val="00F36809"/>
    <w:rsid w:val="00F501B4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EBD-3B59-4B66-894E-5076D61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40</cp:revision>
  <cp:lastPrinted>2023-04-07T08:45:00Z</cp:lastPrinted>
  <dcterms:created xsi:type="dcterms:W3CDTF">2022-09-08T10:29:00Z</dcterms:created>
  <dcterms:modified xsi:type="dcterms:W3CDTF">2023-04-07T08:56:00Z</dcterms:modified>
</cp:coreProperties>
</file>