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D58E2" w:rsidP="00EC735B">
      <w:pPr>
        <w:rPr>
          <w:sz w:val="28"/>
          <w:szCs w:val="28"/>
        </w:rPr>
      </w:pPr>
      <w:r>
        <w:rPr>
          <w:sz w:val="28"/>
          <w:szCs w:val="28"/>
        </w:rPr>
        <w:t xml:space="preserve">30 сентября </w:t>
      </w:r>
      <w:r w:rsidR="001122C6">
        <w:rPr>
          <w:sz w:val="28"/>
          <w:szCs w:val="28"/>
        </w:rPr>
        <w:t>202</w:t>
      </w:r>
      <w:r w:rsidR="006F5CAE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BD58E2" w:rsidRDefault="00BD58E2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BD58E2" w:rsidRPr="00BD58E2" w:rsidRDefault="00BD58E2" w:rsidP="00BD58E2">
      <w:pPr>
        <w:pStyle w:val="aa"/>
        <w:rPr>
          <w:sz w:val="28"/>
          <w:szCs w:val="28"/>
        </w:rPr>
      </w:pPr>
      <w:r w:rsidRPr="00BD58E2">
        <w:rPr>
          <w:sz w:val="28"/>
          <w:szCs w:val="28"/>
        </w:rPr>
        <w:t xml:space="preserve">О результатах мониторинга </w:t>
      </w:r>
    </w:p>
    <w:p w:rsidR="00BD58E2" w:rsidRPr="00BD58E2" w:rsidRDefault="00BD58E2" w:rsidP="00BD58E2">
      <w:pPr>
        <w:pStyle w:val="aa"/>
        <w:rPr>
          <w:sz w:val="28"/>
          <w:szCs w:val="28"/>
        </w:rPr>
      </w:pPr>
      <w:r w:rsidRPr="00BD58E2">
        <w:rPr>
          <w:sz w:val="28"/>
          <w:szCs w:val="28"/>
        </w:rPr>
        <w:t xml:space="preserve">состояния условий и охраны труда </w:t>
      </w:r>
    </w:p>
    <w:p w:rsidR="00BD58E2" w:rsidRPr="00BD58E2" w:rsidRDefault="00BD58E2" w:rsidP="00BD58E2">
      <w:pPr>
        <w:pStyle w:val="aa"/>
        <w:rPr>
          <w:sz w:val="28"/>
          <w:szCs w:val="28"/>
        </w:rPr>
      </w:pPr>
      <w:r w:rsidRPr="00BD58E2">
        <w:rPr>
          <w:sz w:val="28"/>
          <w:szCs w:val="28"/>
        </w:rPr>
        <w:t xml:space="preserve">в 1 полугодии 2021 года и </w:t>
      </w:r>
    </w:p>
    <w:p w:rsidR="00BD58E2" w:rsidRPr="00BD58E2" w:rsidRDefault="00BD58E2" w:rsidP="00BD58E2">
      <w:pPr>
        <w:pStyle w:val="aa"/>
        <w:rPr>
          <w:sz w:val="28"/>
          <w:szCs w:val="28"/>
        </w:rPr>
      </w:pPr>
      <w:proofErr w:type="gramStart"/>
      <w:r w:rsidRPr="00BD58E2">
        <w:rPr>
          <w:sz w:val="28"/>
          <w:szCs w:val="28"/>
        </w:rPr>
        <w:t>направлении</w:t>
      </w:r>
      <w:proofErr w:type="gramEnd"/>
      <w:r w:rsidRPr="00BD58E2">
        <w:rPr>
          <w:sz w:val="28"/>
          <w:szCs w:val="28"/>
        </w:rPr>
        <w:t xml:space="preserve"> материалов </w:t>
      </w:r>
    </w:p>
    <w:p w:rsidR="00BD58E2" w:rsidRPr="00BD58E2" w:rsidRDefault="00BD58E2" w:rsidP="00BD58E2">
      <w:pPr>
        <w:pStyle w:val="aa"/>
        <w:rPr>
          <w:sz w:val="28"/>
          <w:szCs w:val="28"/>
        </w:rPr>
      </w:pPr>
      <w:r w:rsidRPr="00BD58E2">
        <w:rPr>
          <w:sz w:val="28"/>
          <w:szCs w:val="28"/>
        </w:rPr>
        <w:t xml:space="preserve">для привлечения организаций </w:t>
      </w:r>
    </w:p>
    <w:p w:rsidR="00EC735B" w:rsidRDefault="00BD58E2" w:rsidP="00BD58E2">
      <w:pPr>
        <w:pStyle w:val="aa"/>
        <w:rPr>
          <w:sz w:val="28"/>
          <w:szCs w:val="28"/>
        </w:rPr>
      </w:pPr>
      <w:r w:rsidRPr="00BD58E2">
        <w:rPr>
          <w:sz w:val="28"/>
          <w:szCs w:val="28"/>
        </w:rPr>
        <w:t>района к административной ответственности</w:t>
      </w:r>
    </w:p>
    <w:p w:rsidR="00BD58E2" w:rsidRDefault="00BD58E2" w:rsidP="00BD58E2">
      <w:pPr>
        <w:pStyle w:val="aa"/>
        <w:rPr>
          <w:sz w:val="28"/>
          <w:szCs w:val="28"/>
        </w:rPr>
      </w:pP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D58E2">
        <w:rPr>
          <w:sz w:val="28"/>
          <w:szCs w:val="28"/>
        </w:rPr>
        <w:t>нализ состояния условий и охраны труда за 1-е полугодие  2021 года в муниципальном образовании Темрюкский район подготовлен на основании мониторинга, проведенного отделом трудовых отношений, охраны труда и взаимодействия с работодателями ГКУ КК ЦЗН Темрюкского района.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В результате проведенного  мониторинга  за 1-е полугодие  2021 года в организациях муниципального образования Темрюкский район за 1-е полугодие  2021  года в организациях муниципального образования Темрюкский район в процессе трудовой деятельности  произошли 14 (четырнадцать) несчастных случаев, связанных с производством.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Легкие несчастные случаи: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«Пищевые ингредиенты» пострадал грузчик, получив удар в ногу от упавшего на него со второго этажа элемента ограждения;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-в ООО «ОТЭКО-</w:t>
      </w:r>
      <w:proofErr w:type="spellStart"/>
      <w:r w:rsidRPr="00BD58E2">
        <w:rPr>
          <w:sz w:val="28"/>
          <w:szCs w:val="28"/>
        </w:rPr>
        <w:t>Портсервис</w:t>
      </w:r>
      <w:proofErr w:type="spellEnd"/>
      <w:r w:rsidRPr="00BD58E2">
        <w:rPr>
          <w:sz w:val="28"/>
          <w:szCs w:val="28"/>
        </w:rPr>
        <w:t xml:space="preserve">» пострадал инженер обеспечения производства, </w:t>
      </w:r>
      <w:proofErr w:type="gramStart"/>
      <w:r w:rsidRPr="00BD58E2">
        <w:rPr>
          <w:sz w:val="28"/>
          <w:szCs w:val="28"/>
        </w:rPr>
        <w:t>поскользнувшись</w:t>
      </w:r>
      <w:proofErr w:type="gramEnd"/>
      <w:r w:rsidRPr="00BD58E2">
        <w:rPr>
          <w:sz w:val="28"/>
          <w:szCs w:val="28"/>
        </w:rPr>
        <w:t xml:space="preserve"> получил закрытый перелом правой ключицы; 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</w:t>
      </w:r>
      <w:proofErr w:type="gramStart"/>
      <w:r w:rsidRPr="00BD58E2">
        <w:rPr>
          <w:sz w:val="28"/>
          <w:szCs w:val="28"/>
        </w:rPr>
        <w:t>СТР</w:t>
      </w:r>
      <w:proofErr w:type="gramEnd"/>
      <w:r w:rsidRPr="00BD58E2">
        <w:rPr>
          <w:sz w:val="28"/>
          <w:szCs w:val="28"/>
        </w:rPr>
        <w:t xml:space="preserve"> Юг» бетонщик при срезке металлических уголков от металлических колонн на бывшем холодильном цехе СПК им. Ленина (п. Виноградный, </w:t>
      </w:r>
      <w:proofErr w:type="spellStart"/>
      <w:r w:rsidRPr="00BD58E2">
        <w:rPr>
          <w:sz w:val="28"/>
          <w:szCs w:val="28"/>
        </w:rPr>
        <w:t>Анапский</w:t>
      </w:r>
      <w:proofErr w:type="spellEnd"/>
      <w:r w:rsidRPr="00BD58E2">
        <w:rPr>
          <w:sz w:val="28"/>
          <w:szCs w:val="28"/>
        </w:rPr>
        <w:t xml:space="preserve"> район) допустил зажатие диска режущего инструмента, УШМ начала вылетать из рук. получил травму –рвано-резаная рана правой щеки;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МБДОУ ДС № 13 воспитатель  получила закрытый перелом плечевой кости при падении на землю;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- в ООО «Морской терминал «Тамань» оператор товарный. При выполнении работ по </w:t>
      </w:r>
      <w:proofErr w:type="spellStart"/>
      <w:r w:rsidRPr="00BD58E2">
        <w:rPr>
          <w:sz w:val="28"/>
          <w:szCs w:val="28"/>
        </w:rPr>
        <w:t>отшвартовке</w:t>
      </w:r>
      <w:proofErr w:type="spellEnd"/>
      <w:r w:rsidRPr="00BD58E2">
        <w:rPr>
          <w:sz w:val="28"/>
          <w:szCs w:val="28"/>
        </w:rPr>
        <w:t xml:space="preserve"> судна лопнул швартовый канат и ударил пострадавшего в лицо, что привело к травме носа - закрытый перелом костей носа со смещением;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 - в ООО «ОТЭКО-</w:t>
      </w:r>
      <w:proofErr w:type="spellStart"/>
      <w:r w:rsidRPr="00BD58E2">
        <w:rPr>
          <w:sz w:val="28"/>
          <w:szCs w:val="28"/>
        </w:rPr>
        <w:t>Портсервис</w:t>
      </w:r>
      <w:proofErr w:type="spellEnd"/>
      <w:r w:rsidRPr="00BD58E2">
        <w:rPr>
          <w:sz w:val="28"/>
          <w:szCs w:val="28"/>
        </w:rPr>
        <w:t>» геодезист при проведении геодезической съемки деталей стакера-</w:t>
      </w:r>
      <w:proofErr w:type="spellStart"/>
      <w:r w:rsidRPr="00BD58E2">
        <w:rPr>
          <w:sz w:val="28"/>
          <w:szCs w:val="28"/>
        </w:rPr>
        <w:t>реклаймера</w:t>
      </w:r>
      <w:proofErr w:type="spellEnd"/>
      <w:r w:rsidRPr="00BD58E2">
        <w:rPr>
          <w:sz w:val="28"/>
          <w:szCs w:val="28"/>
        </w:rPr>
        <w:t xml:space="preserve"> запнулся за лежащий швеллер и упал на двутавровую балку левым боком, в результате чего тупая поясничная травма поясничной области слева, закрытый перелом  11 ребра, ушиб почки;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«ОТЭКО-Терминал» 3-й механик земснаряда «Витязь» при движении по земснаряду «Витязь» оступился и в результате падения ударился о металлическую переборку рукой, получив травму руки в виде закрытого перелома пальца правой кисти;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lastRenderedPageBreak/>
        <w:t>- в ООО «ОТЭКО-</w:t>
      </w:r>
      <w:proofErr w:type="spellStart"/>
      <w:r w:rsidRPr="00BD58E2">
        <w:rPr>
          <w:sz w:val="28"/>
          <w:szCs w:val="28"/>
        </w:rPr>
        <w:t>Портсервис</w:t>
      </w:r>
      <w:proofErr w:type="spellEnd"/>
      <w:r w:rsidRPr="00BD58E2">
        <w:rPr>
          <w:sz w:val="28"/>
          <w:szCs w:val="28"/>
        </w:rPr>
        <w:t>» рабочий склада при выполнении погрузочно-разгрузочных работ травмировал левую руку, получив рваную рану;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- в ГБУЗ «Темрюкская ЦРБ» МЗ КК биолог, находясь на рабочем </w:t>
      </w:r>
      <w:proofErr w:type="gramStart"/>
      <w:r w:rsidRPr="00BD58E2">
        <w:rPr>
          <w:sz w:val="28"/>
          <w:szCs w:val="28"/>
        </w:rPr>
        <w:t>месте</w:t>
      </w:r>
      <w:proofErr w:type="gramEnd"/>
      <w:r w:rsidRPr="00BD58E2">
        <w:rPr>
          <w:sz w:val="28"/>
          <w:szCs w:val="28"/>
        </w:rPr>
        <w:t xml:space="preserve"> поскользнулась на мокром полу и упала, получив закрытый перелом плечевой кости;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ГБУЗ «</w:t>
      </w:r>
      <w:proofErr w:type="gramStart"/>
      <w:r w:rsidRPr="00BD58E2">
        <w:rPr>
          <w:sz w:val="28"/>
          <w:szCs w:val="28"/>
        </w:rPr>
        <w:t>Темрюкская</w:t>
      </w:r>
      <w:proofErr w:type="gramEnd"/>
      <w:r w:rsidRPr="00BD58E2">
        <w:rPr>
          <w:sz w:val="28"/>
          <w:szCs w:val="28"/>
        </w:rPr>
        <w:t xml:space="preserve"> ЦРБ» МЗ КК. Бригада скорой медицинской помощи, выехавшая с вызова, попала в аварию по причине несоблюдения водителем СМП ПДД. В результате аварии водитель и медицинская сестра получили сотрясение головного мозга с открытой внутричерепной раной;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«ОТЭКО-</w:t>
      </w:r>
      <w:proofErr w:type="spellStart"/>
      <w:r w:rsidRPr="00BD58E2">
        <w:rPr>
          <w:sz w:val="28"/>
          <w:szCs w:val="28"/>
        </w:rPr>
        <w:t>Портесрвис</w:t>
      </w:r>
      <w:proofErr w:type="spellEnd"/>
      <w:r w:rsidRPr="00BD58E2">
        <w:rPr>
          <w:sz w:val="28"/>
          <w:szCs w:val="28"/>
        </w:rPr>
        <w:t>» рабочий разгрузочной бригады оступился и упал с эстакады, в результате чего получил закрытую черепно-мозговую травму, множественные ссадины лица;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ЗАО «</w:t>
      </w:r>
      <w:proofErr w:type="spellStart"/>
      <w:r w:rsidRPr="00BD58E2">
        <w:rPr>
          <w:sz w:val="28"/>
          <w:szCs w:val="28"/>
        </w:rPr>
        <w:t>Таманьнефтегаз</w:t>
      </w:r>
      <w:proofErr w:type="spellEnd"/>
      <w:r w:rsidRPr="00BD58E2">
        <w:rPr>
          <w:sz w:val="28"/>
          <w:szCs w:val="28"/>
        </w:rPr>
        <w:t>» составитель поездов при работе на станции был укушен змеей, в результате чего получил острое отравление ядом.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Тяжелый несчастный случай: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ГБУЗ «</w:t>
      </w:r>
      <w:proofErr w:type="gramStart"/>
      <w:r w:rsidRPr="00BD58E2">
        <w:rPr>
          <w:sz w:val="28"/>
          <w:szCs w:val="28"/>
        </w:rPr>
        <w:t>Темрюкская</w:t>
      </w:r>
      <w:proofErr w:type="gramEnd"/>
      <w:r w:rsidRPr="00BD58E2">
        <w:rPr>
          <w:sz w:val="28"/>
          <w:szCs w:val="28"/>
        </w:rPr>
        <w:t xml:space="preserve"> ЦРБ» МЗ КК. Бригада скорой медицинской помощи, выехавшая с вызова, попала в аварию по причине несоблюдения водителем СМП ПДД. В результате аварии фельдшер скорой помощи получила очаговую травму головного мозга, открытую непроникающую ЧМТ. Закрытый перелом костей носа, ушиб головного мозга легкой степени тяжести, обширную рваную рану лобной кости с дефектом мягких тканей, ушиб грудной клетки, правого голеностопного сустава.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За 1-е полугодие 2021 года в процессе трудовой деятельности в организациях муниципального образования Темрюкский район  произошло 14 несчастных случаев.  При этом пострадали от производственных травм  14  работников, из которых 3 женщина, травматизма среди подростков не установлено.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Уровень производственного травматизма в расчете на 1000 </w:t>
      </w:r>
      <w:proofErr w:type="gramStart"/>
      <w:r w:rsidRPr="00BD58E2">
        <w:rPr>
          <w:sz w:val="28"/>
          <w:szCs w:val="28"/>
        </w:rPr>
        <w:t>работающих</w:t>
      </w:r>
      <w:proofErr w:type="gramEnd"/>
      <w:r w:rsidRPr="00BD58E2">
        <w:rPr>
          <w:sz w:val="28"/>
          <w:szCs w:val="28"/>
        </w:rPr>
        <w:t xml:space="preserve"> (коэффициент частоты – </w:t>
      </w:r>
      <w:proofErr w:type="spellStart"/>
      <w:r w:rsidRPr="00BD58E2">
        <w:rPr>
          <w:sz w:val="28"/>
          <w:szCs w:val="28"/>
        </w:rPr>
        <w:t>К.ч</w:t>
      </w:r>
      <w:proofErr w:type="spellEnd"/>
      <w:r w:rsidRPr="00BD58E2">
        <w:rPr>
          <w:sz w:val="28"/>
          <w:szCs w:val="28"/>
        </w:rPr>
        <w:t>) за 1-й квартал 2021 года составил  0,41  (за аналогичный период за 1-й квартал 2020 года – 0,22).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Число дней утраты трудоспособности за 1-е полугодие 2021 года в Темрюкском районе составило 482 чел./дней (по сравнению с аналогичным периодом 2020 года –  385 чел./дней).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</w:t>
      </w:r>
      <w:proofErr w:type="spellStart"/>
      <w:r w:rsidRPr="00BD58E2">
        <w:rPr>
          <w:sz w:val="28"/>
          <w:szCs w:val="28"/>
        </w:rPr>
        <w:t>К.см</w:t>
      </w:r>
      <w:proofErr w:type="spellEnd"/>
      <w:r w:rsidRPr="00BD58E2">
        <w:rPr>
          <w:sz w:val="28"/>
          <w:szCs w:val="28"/>
        </w:rPr>
        <w:t xml:space="preserve">), составил 0,0  (за 1-е полугодие  2020 года – 0,0). 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D58E2">
        <w:rPr>
          <w:sz w:val="28"/>
          <w:szCs w:val="28"/>
        </w:rPr>
        <w:t xml:space="preserve">Несчастный случай с тяжелым исходом за 1-е полугодие 2021 года зарегистрирован в ГБУЗ «Темрюкская ЦРБ» МЗ КК, коэффициент тяжести </w:t>
      </w:r>
      <w:proofErr w:type="spellStart"/>
      <w:r w:rsidRPr="00BD58E2">
        <w:rPr>
          <w:sz w:val="28"/>
          <w:szCs w:val="28"/>
        </w:rPr>
        <w:t>Кт</w:t>
      </w:r>
      <w:proofErr w:type="spellEnd"/>
      <w:r w:rsidRPr="00BD58E2">
        <w:rPr>
          <w:sz w:val="28"/>
          <w:szCs w:val="28"/>
        </w:rPr>
        <w:t xml:space="preserve">=34,43 (за аналогичный период 2020  года  зарегистрирован 2 (два) несчастных случая с тяжелым исходом, коэффициент тяжести </w:t>
      </w:r>
      <w:proofErr w:type="spellStart"/>
      <w:r w:rsidRPr="00BD58E2">
        <w:rPr>
          <w:sz w:val="28"/>
          <w:szCs w:val="28"/>
        </w:rPr>
        <w:t>Кт</w:t>
      </w:r>
      <w:proofErr w:type="spellEnd"/>
      <w:r w:rsidRPr="00BD58E2">
        <w:rPr>
          <w:sz w:val="28"/>
          <w:szCs w:val="28"/>
        </w:rPr>
        <w:t>=55.</w:t>
      </w:r>
      <w:proofErr w:type="gramEnd"/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Случаев со смертельным исходом за 1-е полугодие 2021 года  не зарегистрировано,  (за аналогичный период 2020  года  несчастных случаев травматизма  со смертельным исходом не зарегистрировано).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На мероприятия по охране труда в 1-е полугодие 2021 года организациями муниципального образования Темрюкский район, участвующими в общероссийском  мониторинге условий и охраны труда, </w:t>
      </w:r>
      <w:r w:rsidRPr="00BD58E2">
        <w:rPr>
          <w:sz w:val="28"/>
          <w:szCs w:val="28"/>
        </w:rPr>
        <w:lastRenderedPageBreak/>
        <w:t>израсходовано  168 384 460 рублей, в пересчете на одного работающего 5 334,7 рублей.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Больше, чем в среднем по району, на одного работающего израсходовано средств в организациях государственного управления и обеспечения военной безопасности.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Израсходовано средств меньше, чем в среднем по муниципальному образованию Темрюкский район в учреждениях образования (ОКВЭД 85) и предоставления прочих видов услуг (ОКВЭД 94-96).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Все  случаи производственного травматизма, зарегистрированные в районе за 1-й квартал 2021 года,  были  рассмотрены на заседании  районной межведомственной комиссии по охране труда в июне  2021 года.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По данным проводимого ЦЗН Темрюкского района мониторинга состояния условий и охраны труда, в организациях района в первом полугодии 2021 года с вредными факторами производственной среды контактировало 6 679 человек (в первом полугодии 2010 года – 6 286 чел.).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В условиях воздействия  вредного фактора производственной среды работают 2 396 женщины. Наибольшее количество женщин с вредными или опасными условиями труда работают в отраслях: здравоохранения и предоставления социальных услуг, сельское и лесное хозяйство и обрабатывающие производства.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В первом полугодии 2021 года в организациях района медицинскими осмотрами было охвачено  78,95 %, работающих во вредных условиях труда, в том числе 83,05% - женщины. 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Для предотвращения и (или) уменьшения воздействия на работников вредных или опасных производственных факторов, а также для защиты от загрязнения, работникам должны за счет работодателя обеспечиваться   средствами индивидуальной защиты (специальной одеждой, специальной обувью и другими СИЗ) и средствами коллективной защиты.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В 1 полугодии 2021 года численность работников организаций Темрюкского района участвующих в мониторинге составила 31 333 человек, из них подлежат обеспечению средствами индивидуальной защиты 18 213 человек.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D58E2">
        <w:rPr>
          <w:sz w:val="28"/>
          <w:szCs w:val="28"/>
        </w:rPr>
        <w:t>По данным работодателей, 17 862 работников обеспечены средствами индивидуальной защиты в полном объеме, что составляет 98,07 % от подлежащих обеспечению работников (за аналогичный период прошлого года 96,63 %).</w:t>
      </w:r>
      <w:proofErr w:type="gramEnd"/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Анализ обеспеченности работников средствами индивидуальной защиты в организациях района показал, что общая сумма расходов на приобретение </w:t>
      </w:r>
      <w:proofErr w:type="gramStart"/>
      <w:r w:rsidRPr="00BD58E2">
        <w:rPr>
          <w:sz w:val="28"/>
          <w:szCs w:val="28"/>
        </w:rPr>
        <w:t>СИЗ  в 1 полугодии 2021 года составила</w:t>
      </w:r>
      <w:proofErr w:type="gramEnd"/>
      <w:r w:rsidRPr="00BD58E2">
        <w:rPr>
          <w:sz w:val="28"/>
          <w:szCs w:val="28"/>
        </w:rPr>
        <w:t xml:space="preserve"> 60 946,77 тыс. рублей. 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По данным мониторинга, расходы на средства индивидуальной защиты для одного работника составили в 1 полугодии 2021года – 3 346,33 рублей, за аналогичный период прошлого года расходы составили  2 543,83  рублей.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Самые высокие расходы на приобретение средств индивидуальной защиты на одного работника отмечены следующих </w:t>
      </w:r>
      <w:proofErr w:type="gramStart"/>
      <w:r w:rsidRPr="00BD58E2">
        <w:rPr>
          <w:sz w:val="28"/>
          <w:szCs w:val="28"/>
        </w:rPr>
        <w:t>отраслях</w:t>
      </w:r>
      <w:proofErr w:type="gramEnd"/>
      <w:r w:rsidRPr="00BD58E2">
        <w:rPr>
          <w:sz w:val="28"/>
          <w:szCs w:val="28"/>
        </w:rPr>
        <w:t xml:space="preserve"> экономики: 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транспортировка и хранение, гостиницы, рестораны и общественное питание.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lastRenderedPageBreak/>
        <w:t xml:space="preserve">Согласно статье 223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 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В первом полугодии   2021 года в Темрюкском районе в проводимом центром занятости мониторинге состояния условий и охраны труда приняло участие 568 организаций, из них 97 организаций с численностью работающих более 50 человек и 471 организаций с численностью работающих 50 и менее  человек. 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В 1 полугодие  2021 года по  данным мониторинга  прошли  </w:t>
      </w:r>
      <w:proofErr w:type="gramStart"/>
      <w:r w:rsidRPr="00BD58E2">
        <w:rPr>
          <w:sz w:val="28"/>
          <w:szCs w:val="28"/>
        </w:rPr>
        <w:t>обучение по</w:t>
      </w:r>
      <w:proofErr w:type="gramEnd"/>
      <w:r w:rsidRPr="00BD58E2">
        <w:rPr>
          <w:sz w:val="28"/>
          <w:szCs w:val="28"/>
        </w:rPr>
        <w:t xml:space="preserve"> общему курсу  по ОТ 1052  человек.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По предварительным данным, по состоянию на 29.09.2021 года в муниципальном образовании Темрюкский район произошло 19 (девятнадцать) несчастных случаев, связанных с производством, из них 18 (восемнадцать) легких несчастных случаев на производстве и 1(один) тяжелых несчастных случая, связанных с производством.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Легкие н/</w:t>
      </w:r>
      <w:proofErr w:type="gramStart"/>
      <w:r w:rsidRPr="00BD58E2">
        <w:rPr>
          <w:sz w:val="28"/>
          <w:szCs w:val="28"/>
        </w:rPr>
        <w:t>с</w:t>
      </w:r>
      <w:proofErr w:type="gramEnd"/>
      <w:r w:rsidRPr="00BD58E2">
        <w:rPr>
          <w:sz w:val="28"/>
          <w:szCs w:val="28"/>
        </w:rPr>
        <w:t xml:space="preserve"> в 3 квартале 2021года: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«Морской терминал «Тамань» товарный оператор получил термические ожоги грудной клетки;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ЗАО «</w:t>
      </w:r>
      <w:proofErr w:type="spellStart"/>
      <w:r w:rsidRPr="00BD58E2">
        <w:rPr>
          <w:sz w:val="28"/>
          <w:szCs w:val="28"/>
        </w:rPr>
        <w:t>Таманьнефтегаз</w:t>
      </w:r>
      <w:proofErr w:type="spellEnd"/>
      <w:r w:rsidRPr="00BD58E2">
        <w:rPr>
          <w:sz w:val="28"/>
          <w:szCs w:val="28"/>
        </w:rPr>
        <w:t>» машинист крана получил закрытый перелом левой лучевой кости и рану лица;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ООО «Пищевые ингредиенты» грузчик  получил перелом правой бедренной кости;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ЗАО «</w:t>
      </w:r>
      <w:proofErr w:type="spellStart"/>
      <w:r w:rsidRPr="00BD58E2">
        <w:rPr>
          <w:sz w:val="28"/>
          <w:szCs w:val="28"/>
        </w:rPr>
        <w:t>Таманьнефтегаз</w:t>
      </w:r>
      <w:proofErr w:type="spellEnd"/>
      <w:r w:rsidRPr="00BD58E2">
        <w:rPr>
          <w:sz w:val="28"/>
          <w:szCs w:val="28"/>
        </w:rPr>
        <w:t xml:space="preserve">» водитель автомобиля предварительно </w:t>
      </w:r>
      <w:proofErr w:type="gramStart"/>
      <w:r w:rsidRPr="00BD58E2">
        <w:rPr>
          <w:sz w:val="28"/>
          <w:szCs w:val="28"/>
        </w:rPr>
        <w:t>получил термический ожег</w:t>
      </w:r>
      <w:proofErr w:type="gramEnd"/>
      <w:r w:rsidRPr="00BD58E2">
        <w:rPr>
          <w:sz w:val="28"/>
          <w:szCs w:val="28"/>
        </w:rPr>
        <w:t xml:space="preserve"> глаз;</w:t>
      </w:r>
    </w:p>
    <w:p w:rsidR="00BD58E2" w:rsidRPr="00BD58E2" w:rsidRDefault="00BD58E2" w:rsidP="00BD58E2">
      <w:pPr>
        <w:pStyle w:val="aa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- в ЗАО «</w:t>
      </w:r>
      <w:proofErr w:type="spellStart"/>
      <w:r w:rsidRPr="00BD58E2">
        <w:rPr>
          <w:sz w:val="28"/>
          <w:szCs w:val="28"/>
        </w:rPr>
        <w:t>Таманьнефтегаз</w:t>
      </w:r>
      <w:proofErr w:type="spellEnd"/>
      <w:r w:rsidRPr="00BD58E2">
        <w:rPr>
          <w:sz w:val="28"/>
          <w:szCs w:val="28"/>
        </w:rPr>
        <w:t>» водитель автомобиля подвернул ногу.</w:t>
      </w:r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D58E2">
        <w:rPr>
          <w:sz w:val="28"/>
          <w:szCs w:val="28"/>
        </w:rPr>
        <w:t xml:space="preserve">На основании мониторинга, проведенного отделом трудовых отношений, охраны труда и взаимодействия с работодателями ГКУ КК ЦЗН Темрюкского района за 1-е полугодие 2021 года, в Государственную инспекции охраны труда Краснодарского края были направлены списки 54 организаций, не предоставивших отчетную информацию о состоянии условий труда. </w:t>
      </w:r>
      <w:proofErr w:type="gramEnd"/>
    </w:p>
    <w:p w:rsidR="00BD58E2" w:rsidRPr="00BD58E2" w:rsidRDefault="00BD58E2" w:rsidP="00BD58E2">
      <w:pPr>
        <w:pStyle w:val="aa"/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В соответствии с  Законом Краснодарского края от 3 июня 1998 года       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работников в организациях района, во исполнение  Трудового кодекса РФ Темрюкская районная трехсторонняя комиссия  </w:t>
      </w:r>
    </w:p>
    <w:p w:rsidR="008C0574" w:rsidRDefault="008C0574" w:rsidP="008C0574">
      <w:pPr>
        <w:jc w:val="both"/>
        <w:rPr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1. Информацию</w:t>
      </w:r>
      <w:r w:rsidRPr="00BD58E2">
        <w:rPr>
          <w:b/>
          <w:sz w:val="28"/>
          <w:szCs w:val="28"/>
        </w:rPr>
        <w:t xml:space="preserve"> </w:t>
      </w:r>
      <w:r w:rsidRPr="00BD58E2">
        <w:rPr>
          <w:sz w:val="28"/>
          <w:szCs w:val="28"/>
        </w:rPr>
        <w:t xml:space="preserve">о состоянии производственного травматизма в организациях муниципального образования Темрюкский район за </w:t>
      </w:r>
      <w:r w:rsidRPr="00BD58E2">
        <w:rPr>
          <w:sz w:val="28"/>
          <w:szCs w:val="28"/>
          <w:lang w:val="en-US"/>
        </w:rPr>
        <w:t>I</w:t>
      </w:r>
      <w:r w:rsidRPr="00BD58E2">
        <w:rPr>
          <w:sz w:val="28"/>
          <w:szCs w:val="28"/>
        </w:rPr>
        <w:t xml:space="preserve"> полугодие  2021 года в муниципальном образовании Темрюкский район принять к сведению.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2.1.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lastRenderedPageBreak/>
        <w:t>2.2.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3. ГКУ КК ЦЗН Темрюкского района: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3.1.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3.2. Проводить работу по своевременному анализу причин, повлекших производственный травматизм в организациях района.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3.4. Направлять в контрольно-надзорные органы сведения об   организациях  Темрюкского района, не проводящих специальную оценку условий труда (СОУТ) на рабочих местах, не разработавших Положение о системе управления охраной труда, не проведших процедуру расчета рисков, не прошедших обучение и проверку знаний по охране труда руководителей и специалистов  организаций Темрюкского района.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4. Администрации муниципального образования Темрюкский район:</w:t>
      </w:r>
    </w:p>
    <w:p w:rsidR="00BD58E2" w:rsidRPr="00BD58E2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муниципального образования Темрюкский район.</w:t>
      </w:r>
    </w:p>
    <w:p w:rsidR="00DF4EDC" w:rsidRPr="00DF4EDC" w:rsidRDefault="00BD58E2" w:rsidP="00BD58E2">
      <w:pPr>
        <w:ind w:firstLine="708"/>
        <w:jc w:val="both"/>
        <w:rPr>
          <w:sz w:val="28"/>
          <w:szCs w:val="28"/>
        </w:rPr>
      </w:pPr>
      <w:r w:rsidRPr="00BD58E2">
        <w:rPr>
          <w:sz w:val="28"/>
          <w:szCs w:val="28"/>
        </w:rPr>
        <w:t xml:space="preserve">4.2. Администрации муниципального образования Темрюкский район </w:t>
      </w:r>
      <w:proofErr w:type="gramStart"/>
      <w:r w:rsidRPr="00BD58E2">
        <w:rPr>
          <w:sz w:val="28"/>
          <w:szCs w:val="28"/>
        </w:rPr>
        <w:t>разместить</w:t>
      </w:r>
      <w:proofErr w:type="gramEnd"/>
      <w:r w:rsidRPr="00BD58E2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D58E2">
        <w:rPr>
          <w:sz w:val="28"/>
          <w:szCs w:val="28"/>
        </w:rPr>
        <w:t>30.09</w:t>
      </w:r>
      <w:r w:rsidR="001122C6">
        <w:rPr>
          <w:sz w:val="28"/>
          <w:szCs w:val="28"/>
        </w:rPr>
        <w:t>.202</w:t>
      </w:r>
      <w:r w:rsidR="004E3961">
        <w:rPr>
          <w:sz w:val="28"/>
          <w:szCs w:val="28"/>
        </w:rPr>
        <w:t>1</w:t>
      </w:r>
      <w:r w:rsidR="00C4125C">
        <w:rPr>
          <w:sz w:val="28"/>
          <w:szCs w:val="28"/>
        </w:rPr>
        <w:t xml:space="preserve"> года № </w:t>
      </w:r>
      <w:r w:rsidR="00BD58E2">
        <w:rPr>
          <w:sz w:val="28"/>
          <w:szCs w:val="28"/>
        </w:rPr>
        <w:t>5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8E2" w:rsidRPr="00BD58E2">
        <w:rPr>
          <w:sz w:val="28"/>
          <w:szCs w:val="28"/>
        </w:rPr>
        <w:t>О результатах мониторинга состояния условий и охраны труда в 1 полугодии 2021 года и направлении материалов для привлечения организаций района к административной ответственности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7B3D0E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F" w:rsidRDefault="006464FF" w:rsidP="001C7650">
      <w:r>
        <w:separator/>
      </w:r>
    </w:p>
  </w:endnote>
  <w:endnote w:type="continuationSeparator" w:id="0">
    <w:p w:rsidR="006464FF" w:rsidRDefault="006464F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F" w:rsidRDefault="006464FF" w:rsidP="001C7650">
      <w:r>
        <w:separator/>
      </w:r>
    </w:p>
  </w:footnote>
  <w:footnote w:type="continuationSeparator" w:id="0">
    <w:p w:rsidR="006464FF" w:rsidRDefault="006464F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E2">
          <w:rPr>
            <w:noProof/>
          </w:rPr>
          <w:t>5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464FF"/>
    <w:rsid w:val="00661C73"/>
    <w:rsid w:val="00687BFE"/>
    <w:rsid w:val="00697157"/>
    <w:rsid w:val="006B7F8B"/>
    <w:rsid w:val="006D71BE"/>
    <w:rsid w:val="006F5CAE"/>
    <w:rsid w:val="007324B9"/>
    <w:rsid w:val="00737D61"/>
    <w:rsid w:val="00742DBE"/>
    <w:rsid w:val="00755F16"/>
    <w:rsid w:val="00756D2E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5368-BF8E-4D3A-A029-2B25BEDE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20</cp:revision>
  <cp:lastPrinted>2013-04-09T06:53:00Z</cp:lastPrinted>
  <dcterms:created xsi:type="dcterms:W3CDTF">2018-03-29T14:02:00Z</dcterms:created>
  <dcterms:modified xsi:type="dcterms:W3CDTF">2021-11-25T14:07:00Z</dcterms:modified>
</cp:coreProperties>
</file>