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7F53C4">
        <w:rPr>
          <w:rFonts w:ascii="Times New Roman" w:hAnsi="Times New Roman"/>
          <w:sz w:val="28"/>
          <w:szCs w:val="28"/>
        </w:rPr>
        <w:t>21</w:t>
      </w:r>
      <w:r w:rsidR="002900BC" w:rsidRPr="00435BAE">
        <w:rPr>
          <w:rFonts w:ascii="Times New Roman" w:hAnsi="Times New Roman"/>
          <w:sz w:val="28"/>
          <w:szCs w:val="28"/>
        </w:rPr>
        <w:t xml:space="preserve"> </w:t>
      </w:r>
      <w:r w:rsidR="007F53C4">
        <w:rPr>
          <w:rFonts w:ascii="Times New Roman" w:hAnsi="Times New Roman"/>
          <w:sz w:val="28"/>
          <w:szCs w:val="28"/>
        </w:rPr>
        <w:t>февраля</w:t>
      </w:r>
      <w:r w:rsidR="00FD25B8" w:rsidRPr="00435BAE">
        <w:rPr>
          <w:rFonts w:ascii="Times New Roman" w:hAnsi="Times New Roman"/>
          <w:sz w:val="28"/>
          <w:szCs w:val="28"/>
        </w:rPr>
        <w:t xml:space="preserve"> 202</w:t>
      </w:r>
      <w:r w:rsidR="00485E28">
        <w:rPr>
          <w:rFonts w:ascii="Times New Roman" w:hAnsi="Times New Roman"/>
          <w:sz w:val="28"/>
          <w:szCs w:val="28"/>
        </w:rPr>
        <w:t>5</w:t>
      </w:r>
      <w:r w:rsidR="00FD25B8" w:rsidRPr="00435BAE">
        <w:rPr>
          <w:rFonts w:ascii="Times New Roman" w:hAnsi="Times New Roman"/>
          <w:sz w:val="28"/>
          <w:szCs w:val="28"/>
        </w:rPr>
        <w:t xml:space="preserve"> г. № </w:t>
      </w:r>
      <w:r w:rsidR="007F53C4">
        <w:rPr>
          <w:rFonts w:ascii="Times New Roman" w:hAnsi="Times New Roman"/>
          <w:sz w:val="28"/>
          <w:szCs w:val="28"/>
        </w:rPr>
        <w:t>273</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bookmarkStart w:id="0" w:name="_GoBack"/>
      <w:bookmarkEnd w:id="0"/>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10782B"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10782B">
        <w:rPr>
          <w:rFonts w:ascii="Times New Roman" w:hAnsi="Times New Roman"/>
          <w:sz w:val="28"/>
          <w:szCs w:val="28"/>
        </w:rPr>
        <w:t xml:space="preserve">Ф.В. </w:t>
      </w:r>
      <w:proofErr w:type="spellStart"/>
      <w:r w:rsidR="0010782B">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7F53C4" w:rsidP="00F50A22">
            <w:pPr>
              <w:ind w:firstLine="0"/>
              <w:jc w:val="center"/>
              <w:rPr>
                <w:rFonts w:ascii="Times New Roman" w:hAnsi="Times New Roman" w:cs="Times New Roman"/>
              </w:rPr>
            </w:pPr>
            <w:r>
              <w:rPr>
                <w:rFonts w:ascii="Times New Roman" w:hAnsi="Times New Roman" w:cs="Times New Roman"/>
              </w:rPr>
              <w:t>463616,3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A07CAD" w:rsidRDefault="007F53C4" w:rsidP="004060B8">
            <w:pPr>
              <w:ind w:firstLine="0"/>
              <w:jc w:val="center"/>
              <w:rPr>
                <w:rFonts w:ascii="Times New Roman" w:hAnsi="Times New Roman" w:cs="Times New Roman"/>
                <w:lang w:val="en-US"/>
              </w:rPr>
            </w:pPr>
            <w:r>
              <w:rPr>
                <w:rFonts w:ascii="Times New Roman" w:hAnsi="Times New Roman" w:cs="Times New Roman"/>
              </w:rPr>
              <w:t>176637,1</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lastRenderedPageBreak/>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7F53C4" w:rsidP="00741EAF">
            <w:pPr>
              <w:ind w:firstLine="0"/>
              <w:jc w:val="center"/>
              <w:rPr>
                <w:rFonts w:ascii="Times New Roman" w:hAnsi="Times New Roman" w:cs="Times New Roman"/>
              </w:rPr>
            </w:pPr>
            <w:r>
              <w:rPr>
                <w:rFonts w:ascii="Times New Roman" w:hAnsi="Times New Roman" w:cs="Times New Roman"/>
              </w:rPr>
              <w:t>1272076,6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B637E4">
            <w:pPr>
              <w:ind w:firstLine="0"/>
              <w:jc w:val="center"/>
              <w:rPr>
                <w:rFonts w:ascii="Times New Roman" w:hAnsi="Times New Roman" w:cs="Times New Roman"/>
              </w:rPr>
            </w:pPr>
            <w:r>
              <w:rPr>
                <w:rFonts w:ascii="Times New Roman" w:hAnsi="Times New Roman" w:cs="Times New Roman"/>
              </w:rPr>
              <w:t>774975,5</w:t>
            </w:r>
          </w:p>
        </w:tc>
        <w:tc>
          <w:tcPr>
            <w:tcW w:w="1586" w:type="dxa"/>
            <w:shd w:val="clear" w:color="auto" w:fill="auto"/>
          </w:tcPr>
          <w:p w:rsidR="00967E76" w:rsidRPr="00702CE4" w:rsidRDefault="007F53C4" w:rsidP="00741EAF">
            <w:pPr>
              <w:ind w:firstLine="0"/>
              <w:jc w:val="center"/>
              <w:rPr>
                <w:rFonts w:ascii="Times New Roman" w:hAnsi="Times New Roman" w:cs="Times New Roman"/>
              </w:rPr>
            </w:pPr>
            <w:r>
              <w:rPr>
                <w:rFonts w:ascii="Times New Roman" w:hAnsi="Times New Roman" w:cs="Times New Roman"/>
              </w:rPr>
              <w:t>497101,1</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7F53C4" w:rsidP="00741EAF">
            <w:pPr>
              <w:ind w:firstLine="0"/>
              <w:jc w:val="center"/>
              <w:rPr>
                <w:rFonts w:ascii="Times New Roman" w:hAnsi="Times New Roman" w:cs="Times New Roman"/>
              </w:rPr>
            </w:pPr>
            <w:r>
              <w:rPr>
                <w:rFonts w:ascii="Times New Roman" w:hAnsi="Times New Roman" w:cs="Times New Roman"/>
              </w:rPr>
              <w:t>434536,9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646B1A" w:rsidRDefault="007F53C4" w:rsidP="00741EAF">
            <w:pPr>
              <w:ind w:firstLine="0"/>
              <w:jc w:val="center"/>
              <w:rPr>
                <w:rFonts w:ascii="Times New Roman" w:hAnsi="Times New Roman" w:cs="Times New Roman"/>
              </w:rPr>
            </w:pPr>
            <w:r>
              <w:rPr>
                <w:rFonts w:ascii="Times New Roman" w:hAnsi="Times New Roman" w:cs="Times New Roman"/>
              </w:rPr>
              <w:t>147557,7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7F53C4" w:rsidP="00741EAF">
            <w:pPr>
              <w:ind w:firstLine="0"/>
              <w:jc w:val="center"/>
              <w:rPr>
                <w:rFonts w:ascii="Times New Roman" w:hAnsi="Times New Roman" w:cs="Times New Roman"/>
              </w:rPr>
            </w:pPr>
            <w:r>
              <w:rPr>
                <w:rFonts w:ascii="Times New Roman" w:hAnsi="Times New Roman" w:cs="Times New Roman"/>
              </w:rPr>
              <w:t>1133169,8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774975,5</w:t>
            </w:r>
          </w:p>
        </w:tc>
        <w:tc>
          <w:tcPr>
            <w:tcW w:w="1586" w:type="dxa"/>
          </w:tcPr>
          <w:p w:rsidR="00967E76" w:rsidRPr="00646B1A" w:rsidRDefault="007F53C4" w:rsidP="00F50A22">
            <w:pPr>
              <w:ind w:firstLine="0"/>
              <w:jc w:val="center"/>
              <w:rPr>
                <w:rFonts w:ascii="Times New Roman" w:hAnsi="Times New Roman" w:cs="Times New Roman"/>
              </w:rPr>
            </w:pPr>
            <w:r>
              <w:rPr>
                <w:rFonts w:ascii="Times New Roman" w:hAnsi="Times New Roman" w:cs="Times New Roman"/>
              </w:rPr>
              <w:t>358194,3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D568DD" w:rsidP="00C170EC">
            <w:pPr>
              <w:ind w:firstLine="0"/>
              <w:jc w:val="center"/>
              <w:rPr>
                <w:rFonts w:ascii="Times New Roman" w:hAnsi="Times New Roman" w:cs="Times New Roman"/>
              </w:rPr>
            </w:pPr>
            <w:r>
              <w:rPr>
                <w:rFonts w:ascii="Times New Roman" w:hAnsi="Times New Roman" w:cs="Times New Roman"/>
              </w:rPr>
              <w:t>260769,2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7F53C4" w:rsidP="00187CC8">
            <w:pPr>
              <w:ind w:firstLine="0"/>
              <w:jc w:val="center"/>
              <w:rPr>
                <w:rFonts w:ascii="Times New Roman" w:hAnsi="Times New Roman" w:cs="Times New Roman"/>
              </w:rPr>
            </w:pPr>
            <w:r>
              <w:rPr>
                <w:rFonts w:ascii="Times New Roman" w:hAnsi="Times New Roman" w:cs="Times New Roman"/>
              </w:rPr>
              <w:t>434536,9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286979,2</w:t>
            </w:r>
          </w:p>
        </w:tc>
        <w:tc>
          <w:tcPr>
            <w:tcW w:w="1586" w:type="dxa"/>
          </w:tcPr>
          <w:p w:rsidR="00C170EC" w:rsidRPr="00646B1A" w:rsidRDefault="007F53C4" w:rsidP="00187CC8">
            <w:pPr>
              <w:ind w:firstLine="0"/>
              <w:jc w:val="center"/>
              <w:rPr>
                <w:rFonts w:ascii="Times New Roman" w:hAnsi="Times New Roman" w:cs="Times New Roman"/>
              </w:rPr>
            </w:pPr>
            <w:r>
              <w:rPr>
                <w:rFonts w:ascii="Times New Roman" w:hAnsi="Times New Roman" w:cs="Times New Roman"/>
              </w:rPr>
              <w:t>147557,7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1133169,8</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774975,5</w:t>
            </w:r>
          </w:p>
        </w:tc>
        <w:tc>
          <w:tcPr>
            <w:tcW w:w="1586" w:type="dxa"/>
          </w:tcPr>
          <w:p w:rsidR="00C170EC" w:rsidRPr="00646B1A" w:rsidRDefault="007F53C4" w:rsidP="00F50A22">
            <w:pPr>
              <w:ind w:firstLine="0"/>
              <w:jc w:val="center"/>
              <w:rPr>
                <w:rFonts w:ascii="Times New Roman" w:hAnsi="Times New Roman" w:cs="Times New Roman"/>
              </w:rPr>
            </w:pPr>
            <w:r>
              <w:rPr>
                <w:rFonts w:ascii="Times New Roman" w:hAnsi="Times New Roman" w:cs="Times New Roman"/>
              </w:rPr>
              <w:t>358194,3</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592564"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91335,7</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87557,2</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181841,2</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7F53C4" w:rsidP="00D90E9D">
            <w:pPr>
              <w:ind w:firstLine="0"/>
              <w:jc w:val="center"/>
              <w:rPr>
                <w:rFonts w:ascii="Times New Roman" w:hAnsi="Times New Roman" w:cs="Times New Roman"/>
              </w:rPr>
            </w:pPr>
            <w:r>
              <w:rPr>
                <w:rFonts w:ascii="Times New Roman" w:hAnsi="Times New Roman" w:cs="Times New Roman"/>
              </w:rPr>
              <w:t>157047,0</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91070,3</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51980,5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657B6C" w:rsidP="00501CDC">
            <w:pPr>
              <w:ind w:firstLine="0"/>
              <w:jc w:val="center"/>
              <w:rPr>
                <w:rFonts w:ascii="Times New Roman" w:hAnsi="Times New Roman" w:cs="Times New Roman"/>
              </w:rPr>
            </w:pPr>
            <w:r>
              <w:rPr>
                <w:rFonts w:ascii="Times New Roman" w:hAnsi="Times New Roman" w:cs="Times New Roman"/>
              </w:rPr>
              <w:t>218198,6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657B6C" w:rsidP="008D1548">
            <w:pPr>
              <w:ind w:firstLine="0"/>
              <w:jc w:val="center"/>
              <w:rPr>
                <w:rFonts w:ascii="Times New Roman" w:hAnsi="Times New Roman" w:cs="Times New Roman"/>
              </w:rPr>
            </w:pPr>
            <w:r>
              <w:rPr>
                <w:rFonts w:ascii="Times New Roman" w:hAnsi="Times New Roman" w:cs="Times New Roman"/>
              </w:rPr>
              <w:t>69568,6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174452,8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F14BED" w:rsidP="008C0C8B">
            <w:pPr>
              <w:ind w:firstLine="0"/>
              <w:jc w:val="center"/>
              <w:rPr>
                <w:rFonts w:ascii="Times New Roman" w:hAnsi="Times New Roman" w:cs="Times New Roman"/>
              </w:rPr>
            </w:pPr>
            <w:r>
              <w:rPr>
                <w:rFonts w:ascii="Times New Roman" w:hAnsi="Times New Roman" w:cs="Times New Roman"/>
              </w:rPr>
              <w:t>14120,6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298694,1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26883,5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245340,0</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102223,3</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F95962" w:rsidP="00D8703E">
            <w:pPr>
              <w:ind w:firstLine="0"/>
              <w:jc w:val="center"/>
              <w:rPr>
                <w:rFonts w:ascii="Times New Roman" w:hAnsi="Times New Roman" w:cs="Times New Roman"/>
              </w:rPr>
            </w:pPr>
            <w:r>
              <w:rPr>
                <w:rFonts w:ascii="Times New Roman" w:hAnsi="Times New Roman" w:cs="Times New Roman"/>
              </w:rPr>
              <w:t>115299,9</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F95962" w:rsidP="00D8703E">
            <w:pPr>
              <w:ind w:firstLine="0"/>
              <w:jc w:val="center"/>
              <w:rPr>
                <w:rFonts w:ascii="Times New Roman" w:hAnsi="Times New Roman" w:cs="Times New Roman"/>
                <w:lang w:val="en-US"/>
              </w:rPr>
            </w:pPr>
            <w:r>
              <w:rPr>
                <w:rFonts w:ascii="Times New Roman" w:hAnsi="Times New Roman" w:cs="Times New Roman"/>
              </w:rPr>
              <w:t>23120,4</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1.</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097E6D" w:rsidP="00C67009">
            <w:pPr>
              <w:ind w:firstLine="0"/>
              <w:jc w:val="center"/>
              <w:rPr>
                <w:rFonts w:ascii="Times New Roman" w:hAnsi="Times New Roman" w:cs="Times New Roman"/>
              </w:rPr>
            </w:pPr>
            <w:r>
              <w:rPr>
                <w:rFonts w:ascii="Times New Roman" w:hAnsi="Times New Roman" w:cs="Times New Roman"/>
              </w:rPr>
              <w:t>2045,0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097E6D" w:rsidP="00C67009">
            <w:pPr>
              <w:ind w:firstLine="0"/>
              <w:jc w:val="center"/>
              <w:rPr>
                <w:rFonts w:ascii="Times New Roman" w:hAnsi="Times New Roman" w:cs="Times New Roman"/>
              </w:rPr>
            </w:pPr>
            <w:r>
              <w:rPr>
                <w:rFonts w:ascii="Times New Roman" w:hAnsi="Times New Roman" w:cs="Times New Roman"/>
              </w:rPr>
              <w:t>2045,0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097E6D" w:rsidP="00C67009">
            <w:pPr>
              <w:ind w:firstLine="0"/>
              <w:jc w:val="center"/>
              <w:rPr>
                <w:rFonts w:ascii="Times New Roman" w:hAnsi="Times New Roman" w:cs="Times New Roman"/>
              </w:rPr>
            </w:pPr>
            <w:r>
              <w:rPr>
                <w:rFonts w:ascii="Times New Roman" w:hAnsi="Times New Roman" w:cs="Times New Roman"/>
              </w:rPr>
              <w:t>2240,0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097E6D" w:rsidP="00C67009">
            <w:pPr>
              <w:ind w:firstLine="0"/>
              <w:jc w:val="center"/>
              <w:rPr>
                <w:rFonts w:ascii="Times New Roman" w:hAnsi="Times New Roman" w:cs="Times New Roman"/>
              </w:rPr>
            </w:pPr>
            <w:r>
              <w:rPr>
                <w:rFonts w:ascii="Times New Roman" w:hAnsi="Times New Roman" w:cs="Times New Roman"/>
              </w:rPr>
              <w:t>2240,0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F419D2" w:rsidP="00F50A22">
            <w:pPr>
              <w:ind w:firstLine="0"/>
              <w:jc w:val="center"/>
              <w:rPr>
                <w:rFonts w:ascii="Times New Roman" w:hAnsi="Times New Roman" w:cs="Times New Roman"/>
              </w:rPr>
            </w:pPr>
            <w:r>
              <w:rPr>
                <w:rFonts w:ascii="Times New Roman" w:hAnsi="Times New Roman" w:cs="Times New Roman"/>
              </w:rPr>
              <w:t>463616,3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F419D2" w:rsidP="0064147D">
            <w:pPr>
              <w:ind w:firstLine="0"/>
              <w:jc w:val="center"/>
              <w:rPr>
                <w:rFonts w:ascii="Times New Roman" w:hAnsi="Times New Roman" w:cs="Times New Roman"/>
              </w:rPr>
            </w:pPr>
            <w:r>
              <w:rPr>
                <w:rFonts w:ascii="Times New Roman" w:hAnsi="Times New Roman" w:cs="Times New Roman"/>
              </w:rPr>
              <w:t>286979,2</w:t>
            </w:r>
          </w:p>
        </w:tc>
        <w:tc>
          <w:tcPr>
            <w:tcW w:w="1134" w:type="dxa"/>
          </w:tcPr>
          <w:p w:rsidR="0064147D" w:rsidRPr="00247730" w:rsidRDefault="00F419D2" w:rsidP="003941C8">
            <w:pPr>
              <w:ind w:firstLine="0"/>
              <w:jc w:val="center"/>
              <w:rPr>
                <w:rFonts w:ascii="Times New Roman" w:hAnsi="Times New Roman" w:cs="Times New Roman"/>
              </w:rPr>
            </w:pPr>
            <w:r>
              <w:rPr>
                <w:rFonts w:ascii="Times New Roman" w:hAnsi="Times New Roman" w:cs="Times New Roman"/>
              </w:rPr>
              <w:t>176637,1</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F419D2" w:rsidP="00B34E4F">
            <w:pPr>
              <w:ind w:firstLine="0"/>
              <w:jc w:val="center"/>
              <w:rPr>
                <w:rFonts w:ascii="Times New Roman" w:hAnsi="Times New Roman" w:cs="Times New Roman"/>
              </w:rPr>
            </w:pPr>
            <w:r>
              <w:rPr>
                <w:rFonts w:ascii="Times New Roman" w:hAnsi="Times New Roman" w:cs="Times New Roman"/>
              </w:rPr>
              <w:t>1272076,6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F419D2" w:rsidP="0064147D">
            <w:pPr>
              <w:ind w:firstLine="0"/>
              <w:jc w:val="center"/>
              <w:rPr>
                <w:rFonts w:ascii="Times New Roman" w:hAnsi="Times New Roman" w:cs="Times New Roman"/>
              </w:rPr>
            </w:pPr>
            <w:r>
              <w:rPr>
                <w:rFonts w:ascii="Times New Roman" w:hAnsi="Times New Roman" w:cs="Times New Roman"/>
              </w:rPr>
              <w:t>774975,5</w:t>
            </w:r>
          </w:p>
        </w:tc>
        <w:tc>
          <w:tcPr>
            <w:tcW w:w="1134" w:type="dxa"/>
            <w:shd w:val="clear" w:color="auto" w:fill="auto"/>
          </w:tcPr>
          <w:p w:rsidR="0064147D" w:rsidRPr="008D539B" w:rsidRDefault="00F419D2" w:rsidP="003941C8">
            <w:pPr>
              <w:ind w:firstLine="0"/>
              <w:jc w:val="center"/>
              <w:rPr>
                <w:rFonts w:ascii="Times New Roman" w:hAnsi="Times New Roman" w:cs="Times New Roman"/>
              </w:rPr>
            </w:pPr>
            <w:r>
              <w:rPr>
                <w:rFonts w:ascii="Times New Roman" w:hAnsi="Times New Roman" w:cs="Times New Roman"/>
              </w:rPr>
              <w:t>497101,1</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837015" w:rsidP="00740D42">
            <w:pPr>
              <w:ind w:firstLine="0"/>
              <w:jc w:val="center"/>
              <w:rPr>
                <w:rFonts w:ascii="Times New Roman" w:hAnsi="Times New Roman" w:cs="Times New Roman"/>
              </w:rPr>
            </w:pPr>
            <w:r>
              <w:rPr>
                <w:rFonts w:ascii="Times New Roman" w:hAnsi="Times New Roman" w:cs="Times New Roman"/>
              </w:rPr>
              <w:t>434536,9</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37015" w:rsidP="00963902">
            <w:pPr>
              <w:ind w:firstLine="0"/>
              <w:jc w:val="center"/>
              <w:rPr>
                <w:rFonts w:ascii="Times New Roman" w:hAnsi="Times New Roman" w:cs="Times New Roman"/>
              </w:rPr>
            </w:pPr>
            <w:r>
              <w:rPr>
                <w:rFonts w:ascii="Times New Roman" w:hAnsi="Times New Roman" w:cs="Times New Roman"/>
              </w:rPr>
              <w:t>286979,2</w:t>
            </w:r>
          </w:p>
        </w:tc>
        <w:tc>
          <w:tcPr>
            <w:tcW w:w="1134" w:type="dxa"/>
          </w:tcPr>
          <w:p w:rsidR="00963902" w:rsidRPr="008D539B" w:rsidRDefault="00837015" w:rsidP="00740D42">
            <w:pPr>
              <w:ind w:firstLine="0"/>
              <w:jc w:val="center"/>
              <w:rPr>
                <w:rFonts w:ascii="Times New Roman" w:hAnsi="Times New Roman" w:cs="Times New Roman"/>
              </w:rPr>
            </w:pPr>
            <w:r>
              <w:rPr>
                <w:rFonts w:ascii="Times New Roman" w:hAnsi="Times New Roman" w:cs="Times New Roman"/>
              </w:rPr>
              <w:t>147557,7</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837015" w:rsidP="00740D42">
            <w:pPr>
              <w:ind w:firstLine="0"/>
              <w:jc w:val="center"/>
              <w:rPr>
                <w:rFonts w:ascii="Times New Roman" w:hAnsi="Times New Roman" w:cs="Times New Roman"/>
                <w:lang w:val="en-US"/>
              </w:rPr>
            </w:pPr>
            <w:r>
              <w:rPr>
                <w:rFonts w:ascii="Times New Roman" w:hAnsi="Times New Roman" w:cs="Times New Roman"/>
              </w:rPr>
              <w:t>1133169,8</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837015" w:rsidP="00963902">
            <w:pPr>
              <w:ind w:firstLine="0"/>
              <w:jc w:val="center"/>
              <w:rPr>
                <w:rFonts w:ascii="Times New Roman" w:hAnsi="Times New Roman" w:cs="Times New Roman"/>
              </w:rPr>
            </w:pPr>
            <w:r>
              <w:rPr>
                <w:rFonts w:ascii="Times New Roman" w:hAnsi="Times New Roman" w:cs="Times New Roman"/>
              </w:rPr>
              <w:t>774975,5</w:t>
            </w:r>
          </w:p>
        </w:tc>
        <w:tc>
          <w:tcPr>
            <w:tcW w:w="1134" w:type="dxa"/>
          </w:tcPr>
          <w:p w:rsidR="00963902" w:rsidRPr="00646B1A" w:rsidRDefault="00837015" w:rsidP="00F50A22">
            <w:pPr>
              <w:ind w:firstLine="0"/>
              <w:jc w:val="center"/>
              <w:rPr>
                <w:rFonts w:ascii="Times New Roman" w:hAnsi="Times New Roman" w:cs="Times New Roman"/>
              </w:rPr>
            </w:pPr>
            <w:r>
              <w:rPr>
                <w:rFonts w:ascii="Times New Roman" w:hAnsi="Times New Roman" w:cs="Times New Roman"/>
              </w:rPr>
              <w:t>358194,3</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564" w:rsidRDefault="00592564" w:rsidP="00DC78B6">
      <w:r>
        <w:separator/>
      </w:r>
    </w:p>
  </w:endnote>
  <w:endnote w:type="continuationSeparator" w:id="0">
    <w:p w:rsidR="00592564" w:rsidRDefault="0059256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564" w:rsidRDefault="00592564" w:rsidP="00DC78B6">
      <w:r>
        <w:separator/>
      </w:r>
    </w:p>
  </w:footnote>
  <w:footnote w:type="continuationSeparator" w:id="0">
    <w:p w:rsidR="00592564" w:rsidRDefault="00592564"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4429E2" w:rsidRDefault="00E410C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E410CC" w:rsidRPr="009333D9" w:rsidRDefault="00E410CC"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10782B" w:rsidRPr="0010782B">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10782B" w:rsidRPr="0010782B">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9333D9" w:rsidRDefault="00592564"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E410CC"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084EB9" w:rsidRDefault="00E410CC">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E410CC" w:rsidRPr="00084EB9" w:rsidRDefault="00E410CC">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E410CC">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360C06" w:rsidRDefault="00E410C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E410CC" w:rsidRPr="00360C06" w:rsidRDefault="00E410CC">
                    <w:pPr>
                      <w:jc w:val="center"/>
                      <w:rPr>
                        <w:rFonts w:ascii="Times New Roman" w:eastAsiaTheme="majorEastAsia" w:hAnsi="Times New Roman" w:cs="Times New Roman"/>
                      </w:rPr>
                    </w:pPr>
                  </w:p>
                </w:txbxContent>
              </v:textbox>
              <w10:wrap anchorx="margin" anchory="page"/>
            </v:rect>
          </w:pict>
        </mc:Fallback>
      </mc:AlternateContent>
    </w:r>
    <w:r w:rsidR="00E410CC">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10782B" w:rsidRPr="0010782B">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10782B" w:rsidRPr="0010782B">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57CF"/>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5D2"/>
    <w:rsid w:val="0050367A"/>
    <w:rsid w:val="005067E2"/>
    <w:rsid w:val="00506C67"/>
    <w:rsid w:val="00510118"/>
    <w:rsid w:val="00510B5E"/>
    <w:rsid w:val="00510D2B"/>
    <w:rsid w:val="0051323B"/>
    <w:rsid w:val="00513928"/>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564"/>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962"/>
    <w:rsid w:val="00F95BDD"/>
    <w:rsid w:val="00F96B69"/>
    <w:rsid w:val="00F97886"/>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E7C77"/>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1321-64C4-439D-AC6D-FEE346E6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26</Pages>
  <Words>5146</Words>
  <Characters>29336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119</cp:revision>
  <cp:lastPrinted>2025-02-21T10:23:00Z</cp:lastPrinted>
  <dcterms:created xsi:type="dcterms:W3CDTF">2024-06-20T13:23:00Z</dcterms:created>
  <dcterms:modified xsi:type="dcterms:W3CDTF">2025-03-19T08:58:00Z</dcterms:modified>
</cp:coreProperties>
</file>